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754" w:rsidRDefault="00EB7754" w:rsidP="00AB1412">
      <w:pPr>
        <w:pStyle w:val="Ttulo2"/>
        <w:spacing w:line="276" w:lineRule="auto"/>
        <w:ind w:left="0" w:right="-427" w:firstLine="0"/>
        <w:jc w:val="both"/>
        <w:rPr>
          <w:rFonts w:ascii="Verdana" w:hAnsi="Verdana" w:cs="Arial"/>
          <w:b/>
          <w:bCs/>
          <w:szCs w:val="24"/>
        </w:rPr>
      </w:pPr>
    </w:p>
    <w:p w:rsidR="00EB7754" w:rsidRDefault="00EB7754" w:rsidP="00AB1412">
      <w:pPr>
        <w:pStyle w:val="Ttulo2"/>
        <w:spacing w:line="276" w:lineRule="auto"/>
        <w:ind w:left="0" w:right="-427" w:firstLine="0"/>
        <w:jc w:val="both"/>
        <w:rPr>
          <w:rFonts w:ascii="Verdana" w:hAnsi="Verdana" w:cs="Arial"/>
          <w:b/>
          <w:bCs/>
          <w:szCs w:val="24"/>
        </w:rPr>
      </w:pPr>
    </w:p>
    <w:p w:rsidR="00AB1412" w:rsidRPr="00BC2763" w:rsidRDefault="00BC2763" w:rsidP="00AB1412">
      <w:pPr>
        <w:widowControl w:val="0"/>
        <w:spacing w:line="276" w:lineRule="auto"/>
        <w:ind w:left="180" w:right="-427"/>
        <w:rPr>
          <w:rFonts w:ascii="Verdana" w:hAnsi="Verdana" w:cs="Arial"/>
          <w:b/>
          <w:snapToGrid w:val="0"/>
          <w:sz w:val="22"/>
        </w:rPr>
      </w:pPr>
      <w:r>
        <w:rPr>
          <w:rFonts w:ascii="Verdana" w:hAnsi="Verdana" w:cs="Arial"/>
          <w:snapToGrid w:val="0"/>
          <w:sz w:val="22"/>
        </w:rPr>
        <w:t xml:space="preserve">    </w:t>
      </w:r>
      <w:r w:rsidR="00D17355">
        <w:rPr>
          <w:rFonts w:ascii="Verdana" w:hAnsi="Verdana" w:cs="Arial"/>
          <w:snapToGrid w:val="0"/>
          <w:sz w:val="22"/>
        </w:rPr>
        <w:t xml:space="preserve"> </w:t>
      </w:r>
      <w:r>
        <w:rPr>
          <w:rFonts w:ascii="Verdana" w:hAnsi="Verdana" w:cs="Arial"/>
          <w:snapToGrid w:val="0"/>
          <w:sz w:val="22"/>
        </w:rPr>
        <w:t xml:space="preserve"> </w:t>
      </w:r>
      <w:r w:rsidRPr="00BC2763">
        <w:rPr>
          <w:rFonts w:ascii="Verdana" w:hAnsi="Verdana" w:cs="Arial"/>
          <w:b/>
          <w:snapToGrid w:val="0"/>
          <w:sz w:val="22"/>
        </w:rPr>
        <w:t>PROJETO DE LEI ORDINÁRIA Nº</w:t>
      </w:r>
      <w:proofErr w:type="gramStart"/>
      <w:r w:rsidRPr="00BC2763">
        <w:rPr>
          <w:rFonts w:ascii="Verdana" w:hAnsi="Verdana" w:cs="Arial"/>
          <w:b/>
          <w:snapToGrid w:val="0"/>
          <w:sz w:val="22"/>
        </w:rPr>
        <w:t xml:space="preserve"> </w:t>
      </w:r>
      <w:r w:rsidR="00D17355">
        <w:rPr>
          <w:rFonts w:ascii="Verdana" w:hAnsi="Verdana" w:cs="Arial"/>
          <w:b/>
          <w:snapToGrid w:val="0"/>
          <w:sz w:val="22"/>
        </w:rPr>
        <w:t xml:space="preserve"> </w:t>
      </w:r>
      <w:proofErr w:type="gramEnd"/>
      <w:r w:rsidR="00D17355">
        <w:rPr>
          <w:rFonts w:ascii="Verdana" w:hAnsi="Verdana" w:cs="Arial"/>
          <w:b/>
          <w:snapToGrid w:val="0"/>
          <w:sz w:val="22"/>
        </w:rPr>
        <w:t>25,  DE 06/12/2021</w:t>
      </w:r>
    </w:p>
    <w:p w:rsidR="00AB1412" w:rsidRDefault="00AB1412" w:rsidP="00AB1412">
      <w:pPr>
        <w:widowControl w:val="0"/>
        <w:spacing w:line="276" w:lineRule="auto"/>
        <w:ind w:left="180" w:right="-427"/>
        <w:rPr>
          <w:rFonts w:ascii="Verdana" w:hAnsi="Verdana" w:cs="Arial"/>
          <w:snapToGrid w:val="0"/>
          <w:sz w:val="22"/>
        </w:rPr>
      </w:pPr>
    </w:p>
    <w:p w:rsidR="00AB1412" w:rsidRPr="003C16FF" w:rsidRDefault="00AB1412" w:rsidP="00AB1412">
      <w:pPr>
        <w:widowControl w:val="0"/>
        <w:spacing w:line="276" w:lineRule="auto"/>
        <w:ind w:left="180" w:right="-427"/>
        <w:rPr>
          <w:rFonts w:ascii="Verdana" w:hAnsi="Verdana" w:cs="Arial"/>
          <w:snapToGrid w:val="0"/>
          <w:sz w:val="22"/>
        </w:rPr>
      </w:pPr>
    </w:p>
    <w:p w:rsidR="00AB1412" w:rsidRPr="00D15052" w:rsidRDefault="007F5E98" w:rsidP="00AB1412">
      <w:pPr>
        <w:spacing w:line="276" w:lineRule="auto"/>
        <w:ind w:left="2552" w:right="-427"/>
        <w:jc w:val="both"/>
        <w:rPr>
          <w:rFonts w:ascii="Verdana" w:hAnsi="Verdana"/>
          <w:b/>
          <w:sz w:val="22"/>
        </w:rPr>
      </w:pPr>
      <w:r w:rsidRPr="00A3118E">
        <w:rPr>
          <w:rFonts w:ascii="Verdana" w:hAnsi="Verdana" w:cs="Arial"/>
          <w:b/>
          <w:i/>
          <w:sz w:val="22"/>
        </w:rPr>
        <w:t xml:space="preserve"> </w:t>
      </w:r>
      <w:r w:rsidRPr="00D15052">
        <w:rPr>
          <w:rFonts w:ascii="Verdana" w:hAnsi="Verdana"/>
          <w:b/>
          <w:sz w:val="22"/>
        </w:rPr>
        <w:t>“</w:t>
      </w:r>
      <w:r w:rsidRPr="00AB1412">
        <w:rPr>
          <w:rFonts w:ascii="Verdana" w:hAnsi="Verdana"/>
          <w:b/>
          <w:sz w:val="22"/>
        </w:rPr>
        <w:t xml:space="preserve">Dispõe sobre a concessão do Abono FUNDEB aos Profissionais da Educação Básica da Rede Municipal de </w:t>
      </w:r>
      <w:r>
        <w:rPr>
          <w:rFonts w:ascii="Verdana" w:hAnsi="Verdana"/>
          <w:b/>
          <w:sz w:val="22"/>
        </w:rPr>
        <w:t>Ensino, no âmbito do Município de Coxim-MS</w:t>
      </w:r>
      <w:r w:rsidRPr="00D15052">
        <w:rPr>
          <w:rFonts w:ascii="Verdana" w:hAnsi="Verdana"/>
          <w:b/>
          <w:sz w:val="22"/>
        </w:rPr>
        <w:t xml:space="preserve"> e dá outras providências”.</w:t>
      </w:r>
    </w:p>
    <w:p w:rsidR="00AB1412" w:rsidRDefault="00AB1412" w:rsidP="00AB1412">
      <w:pPr>
        <w:spacing w:line="276" w:lineRule="auto"/>
        <w:ind w:left="3420" w:right="-427"/>
        <w:jc w:val="both"/>
        <w:rPr>
          <w:rFonts w:ascii="Verdana" w:hAnsi="Verdana"/>
          <w:b/>
          <w:sz w:val="22"/>
        </w:rPr>
      </w:pPr>
    </w:p>
    <w:p w:rsidR="00AB1412" w:rsidRDefault="00AB1412" w:rsidP="00AB1412">
      <w:pPr>
        <w:widowControl w:val="0"/>
        <w:spacing w:line="276" w:lineRule="auto"/>
        <w:ind w:left="180" w:right="-427"/>
        <w:rPr>
          <w:rFonts w:ascii="Verdana" w:hAnsi="Verdana" w:cs="Arial"/>
          <w:iCs/>
          <w:snapToGrid w:val="0"/>
          <w:sz w:val="22"/>
        </w:rPr>
      </w:pPr>
    </w:p>
    <w:p w:rsidR="00AB1412" w:rsidRPr="003C16FF" w:rsidRDefault="00AB1412" w:rsidP="00AB1412">
      <w:pPr>
        <w:widowControl w:val="0"/>
        <w:spacing w:line="276" w:lineRule="auto"/>
        <w:ind w:left="180" w:right="-427"/>
        <w:rPr>
          <w:rFonts w:ascii="Verdana" w:hAnsi="Verdana" w:cs="Arial"/>
          <w:iCs/>
          <w:snapToGrid w:val="0"/>
          <w:sz w:val="22"/>
        </w:rPr>
      </w:pPr>
    </w:p>
    <w:p w:rsidR="00AB1412" w:rsidRDefault="00BC2763" w:rsidP="00EB7754">
      <w:pPr>
        <w:spacing w:line="276" w:lineRule="auto"/>
        <w:ind w:right="-427" w:firstLine="708"/>
        <w:jc w:val="both"/>
        <w:rPr>
          <w:rFonts w:ascii="Verdana" w:hAnsi="Verdana" w:cs="Arial"/>
          <w:snapToGrid w:val="0"/>
        </w:rPr>
      </w:pPr>
      <w:r>
        <w:rPr>
          <w:rFonts w:ascii="Verdana" w:hAnsi="Verdana" w:cs="Arial"/>
          <w:snapToGrid w:val="0"/>
        </w:rPr>
        <w:t xml:space="preserve">O </w:t>
      </w:r>
      <w:r w:rsidR="007F5E98" w:rsidRPr="00BC2763">
        <w:rPr>
          <w:rFonts w:ascii="Verdana" w:hAnsi="Verdana" w:cs="Arial"/>
          <w:b/>
          <w:snapToGrid w:val="0"/>
        </w:rPr>
        <w:t>Prefeito Municipal de Coxim, Estado de Mato Grosso do Sul</w:t>
      </w:r>
      <w:r w:rsidR="007F5E98" w:rsidRPr="00EE1758">
        <w:rPr>
          <w:rFonts w:ascii="Verdana" w:hAnsi="Verdana" w:cs="Arial"/>
          <w:snapToGrid w:val="0"/>
        </w:rPr>
        <w:t>, no uso de suas atribuições legais, faz saber que a Câmara Municipal aprovou e ele sanciona a seguinte Lei:</w:t>
      </w:r>
    </w:p>
    <w:p w:rsidR="00AB1412" w:rsidRPr="003C16FF" w:rsidRDefault="00AB1412" w:rsidP="00AB1412">
      <w:pPr>
        <w:spacing w:line="276" w:lineRule="auto"/>
        <w:ind w:right="-427"/>
        <w:rPr>
          <w:rFonts w:ascii="Verdana" w:hAnsi="Verdana" w:cs="Arial"/>
          <w:snapToGrid w:val="0"/>
          <w:sz w:val="22"/>
        </w:rPr>
      </w:pPr>
    </w:p>
    <w:p w:rsidR="00AB1412" w:rsidRPr="00AB1412" w:rsidRDefault="007F5E98" w:rsidP="00EB7754">
      <w:pPr>
        <w:spacing w:line="276" w:lineRule="auto"/>
        <w:ind w:right="-427" w:firstLine="708"/>
        <w:jc w:val="both"/>
        <w:rPr>
          <w:rFonts w:ascii="Verdana" w:hAnsi="Verdana" w:cs="Arial"/>
          <w:snapToGrid w:val="0"/>
        </w:rPr>
      </w:pPr>
      <w:r w:rsidRPr="00AB1412">
        <w:rPr>
          <w:rFonts w:ascii="Verdana" w:hAnsi="Verdana" w:cs="Arial"/>
          <w:b/>
          <w:snapToGrid w:val="0"/>
        </w:rPr>
        <w:t xml:space="preserve">Art. 1º. </w:t>
      </w:r>
      <w:r w:rsidRPr="00AB1412">
        <w:rPr>
          <w:rFonts w:ascii="Verdana" w:hAnsi="Verdana" w:cs="Arial"/>
          <w:snapToGrid w:val="0"/>
        </w:rPr>
        <w:t xml:space="preserve">Fica o Executivo autorizado a conceder, em caráter excepcional, no Exercício de 2021, o </w:t>
      </w:r>
      <w:r w:rsidR="00A0510A">
        <w:rPr>
          <w:rFonts w:ascii="Verdana" w:hAnsi="Verdana" w:cs="Arial"/>
          <w:snapToGrid w:val="0"/>
        </w:rPr>
        <w:t xml:space="preserve">rateio </w:t>
      </w:r>
      <w:r w:rsidRPr="00AB1412">
        <w:rPr>
          <w:rFonts w:ascii="Verdana" w:hAnsi="Verdana" w:cs="Arial"/>
          <w:snapToGrid w:val="0"/>
        </w:rPr>
        <w:t>denominado Abono-FUNDEB, para fins de cumprimento do disposto no inciso XI, do artigo 212-A, da Constituição Federal, aos profissionais da Educação Básica, detentores de cargo de provimento efetivo, comissionado e contratado, vinculados à Secretaria Municipal de Educação, desde que em efetivo exercício de suas atividades no respectivo cargo, nos termos estabelecidos por esta Lei.</w:t>
      </w:r>
    </w:p>
    <w:p w:rsidR="00AB1412" w:rsidRDefault="007F5E98" w:rsidP="00EB7754">
      <w:pPr>
        <w:spacing w:line="276" w:lineRule="auto"/>
        <w:ind w:right="-427" w:firstLine="708"/>
        <w:jc w:val="both"/>
        <w:rPr>
          <w:rFonts w:ascii="Verdana" w:hAnsi="Verdana" w:cs="Arial"/>
          <w:snapToGrid w:val="0"/>
        </w:rPr>
      </w:pPr>
      <w:r w:rsidRPr="00AB1412">
        <w:rPr>
          <w:rFonts w:ascii="Verdana" w:hAnsi="Verdana" w:cs="Arial"/>
          <w:b/>
          <w:snapToGrid w:val="0"/>
        </w:rPr>
        <w:t xml:space="preserve">Parágrafo Único. </w:t>
      </w:r>
      <w:r w:rsidRPr="00AB1412">
        <w:rPr>
          <w:rFonts w:ascii="Verdana" w:hAnsi="Verdana" w:cs="Arial"/>
          <w:snapToGrid w:val="0"/>
        </w:rPr>
        <w:t>O valor global destinado ao pagamento do Abono-FUNDEB será estabelecido em decreto, e não poderá ser superior à quanti</w:t>
      </w:r>
      <w:r w:rsidR="00A0510A">
        <w:rPr>
          <w:rFonts w:ascii="Verdana" w:hAnsi="Verdana" w:cs="Arial"/>
          <w:snapToGrid w:val="0"/>
        </w:rPr>
        <w:t>a necessária para integrar 70</w:t>
      </w:r>
      <w:r w:rsidRPr="00AB1412">
        <w:rPr>
          <w:rFonts w:ascii="Verdana" w:hAnsi="Verdana" w:cs="Arial"/>
          <w:snapToGrid w:val="0"/>
        </w:rPr>
        <w:t>% (setenta inteiros por cento) dos recursos disponíveis na conta municipal do Fundo de Manutenção e Desenvolvimento da Educação Básica e de Valorização dos Profissionais da Educação–FUNDEB, relativos ao Exercício de 2021.</w:t>
      </w:r>
    </w:p>
    <w:p w:rsidR="00BC2763" w:rsidRPr="00AB1412" w:rsidRDefault="00BC2763" w:rsidP="00EB7754">
      <w:pPr>
        <w:spacing w:line="276" w:lineRule="auto"/>
        <w:ind w:right="-427" w:firstLine="708"/>
        <w:jc w:val="both"/>
        <w:rPr>
          <w:rFonts w:ascii="Verdana" w:hAnsi="Verdana" w:cs="Arial"/>
          <w:snapToGrid w:val="0"/>
        </w:rPr>
      </w:pPr>
    </w:p>
    <w:p w:rsidR="00AB1412" w:rsidRPr="00AB1412" w:rsidRDefault="007F5E98" w:rsidP="00EB7754">
      <w:pPr>
        <w:spacing w:line="276" w:lineRule="auto"/>
        <w:ind w:right="-427" w:firstLine="708"/>
        <w:jc w:val="both"/>
        <w:rPr>
          <w:rFonts w:ascii="Verdana" w:hAnsi="Verdana" w:cs="Arial"/>
          <w:snapToGrid w:val="0"/>
        </w:rPr>
      </w:pPr>
      <w:r w:rsidRPr="00AB1412">
        <w:rPr>
          <w:rFonts w:ascii="Verdana" w:hAnsi="Verdana" w:cs="Arial"/>
          <w:b/>
          <w:snapToGrid w:val="0"/>
        </w:rPr>
        <w:t xml:space="preserve">Art. 2º. </w:t>
      </w:r>
      <w:r w:rsidRPr="00AB1412">
        <w:rPr>
          <w:rFonts w:ascii="Verdana" w:hAnsi="Verdana" w:cs="Arial"/>
          <w:snapToGrid w:val="0"/>
        </w:rPr>
        <w:t>São considerados Profissionais da Educação aqueles definidos nos termos art. 26, parágrafo único, inciso II, da Lei nº 14.113, de 25 de dezembro de 2020 e do art. 61 da Lei nº 9.394, de 20 de dezembro de 1996 (LDB), bem como aqueles profissionais referidos no art. 1º da Lei nº 13.935, de 11 de dezembro de 2019, em efetivo exercí</w:t>
      </w:r>
      <w:r w:rsidR="00F95A4D">
        <w:rPr>
          <w:rFonts w:ascii="Verdana" w:hAnsi="Verdana" w:cs="Arial"/>
          <w:snapToGrid w:val="0"/>
        </w:rPr>
        <w:t>cio na Rede Municipal de Ensino, e aos servidores que atuam na realização de serviços de</w:t>
      </w:r>
      <w:proofErr w:type="gramStart"/>
      <w:r w:rsidR="00F95A4D">
        <w:rPr>
          <w:rFonts w:ascii="Verdana" w:hAnsi="Verdana" w:cs="Arial"/>
          <w:snapToGrid w:val="0"/>
        </w:rPr>
        <w:t xml:space="preserve">  </w:t>
      </w:r>
      <w:proofErr w:type="gramEnd"/>
      <w:r w:rsidR="00F95A4D">
        <w:rPr>
          <w:rFonts w:ascii="Verdana" w:hAnsi="Verdana" w:cs="Arial"/>
          <w:snapToGrid w:val="0"/>
        </w:rPr>
        <w:t xml:space="preserve">apoio técnico  administrativo e operacional. </w:t>
      </w:r>
    </w:p>
    <w:p w:rsidR="00EB7754" w:rsidRDefault="00EB7754" w:rsidP="00EB7754">
      <w:pPr>
        <w:spacing w:line="276" w:lineRule="auto"/>
        <w:ind w:right="-427" w:firstLine="708"/>
        <w:jc w:val="both"/>
        <w:rPr>
          <w:rFonts w:ascii="Verdana" w:hAnsi="Verdana" w:cs="Arial"/>
          <w:b/>
          <w:snapToGrid w:val="0"/>
        </w:rPr>
      </w:pPr>
    </w:p>
    <w:p w:rsidR="00D17355" w:rsidRDefault="00D17355" w:rsidP="00EB7754">
      <w:pPr>
        <w:spacing w:line="276" w:lineRule="auto"/>
        <w:ind w:right="-427" w:firstLine="708"/>
        <w:jc w:val="both"/>
        <w:rPr>
          <w:rFonts w:ascii="Verdana" w:hAnsi="Verdana" w:cs="Arial"/>
          <w:b/>
          <w:snapToGrid w:val="0"/>
        </w:rPr>
      </w:pPr>
    </w:p>
    <w:p w:rsidR="00D17355" w:rsidRDefault="00D17355" w:rsidP="00EB7754">
      <w:pPr>
        <w:spacing w:line="276" w:lineRule="auto"/>
        <w:ind w:right="-427" w:firstLine="708"/>
        <w:jc w:val="both"/>
        <w:rPr>
          <w:rFonts w:ascii="Verdana" w:hAnsi="Verdana" w:cs="Arial"/>
          <w:b/>
          <w:snapToGrid w:val="0"/>
        </w:rPr>
      </w:pPr>
    </w:p>
    <w:p w:rsidR="00D17355" w:rsidRDefault="00D17355" w:rsidP="00EB7754">
      <w:pPr>
        <w:spacing w:line="276" w:lineRule="auto"/>
        <w:ind w:right="-427" w:firstLine="708"/>
        <w:jc w:val="both"/>
        <w:rPr>
          <w:rFonts w:ascii="Verdana" w:hAnsi="Verdana" w:cs="Arial"/>
          <w:b/>
          <w:snapToGrid w:val="0"/>
        </w:rPr>
      </w:pPr>
    </w:p>
    <w:p w:rsidR="00AB1412" w:rsidRDefault="007F5E98" w:rsidP="00EB7754">
      <w:pPr>
        <w:spacing w:line="276" w:lineRule="auto"/>
        <w:ind w:right="-427" w:firstLine="708"/>
        <w:jc w:val="both"/>
        <w:rPr>
          <w:rFonts w:ascii="Verdana" w:hAnsi="Verdana" w:cs="Arial"/>
          <w:b/>
          <w:snapToGrid w:val="0"/>
        </w:rPr>
      </w:pPr>
      <w:r w:rsidRPr="00AB1412">
        <w:rPr>
          <w:rFonts w:ascii="Verdana" w:hAnsi="Verdana" w:cs="Arial"/>
          <w:b/>
          <w:snapToGrid w:val="0"/>
        </w:rPr>
        <w:t xml:space="preserve">Art. 3º. </w:t>
      </w:r>
      <w:r w:rsidRPr="00A0510A">
        <w:rPr>
          <w:rFonts w:ascii="Verdana" w:hAnsi="Verdana" w:cs="Arial"/>
          <w:snapToGrid w:val="0"/>
        </w:rPr>
        <w:t>Poderão receber o Abono-FUNDEB, conforme previsto no Artigo 2º desta Lei, os servidores, que se encontrarem nas seguintes condições:</w:t>
      </w:r>
      <w:r w:rsidRPr="00AB1412">
        <w:rPr>
          <w:rFonts w:ascii="Verdana" w:hAnsi="Verdana" w:cs="Arial"/>
          <w:b/>
          <w:snapToGrid w:val="0"/>
        </w:rPr>
        <w:t xml:space="preserve"> </w:t>
      </w:r>
    </w:p>
    <w:p w:rsidR="00EB7754" w:rsidRPr="00BC2763" w:rsidRDefault="00EB7754" w:rsidP="00EB7754">
      <w:pPr>
        <w:spacing w:line="276" w:lineRule="auto"/>
        <w:ind w:right="-427" w:firstLine="708"/>
        <w:jc w:val="both"/>
        <w:rPr>
          <w:rFonts w:ascii="Verdana" w:hAnsi="Verdana" w:cs="Arial"/>
          <w:b/>
          <w:snapToGrid w:val="0"/>
          <w:sz w:val="14"/>
        </w:rPr>
      </w:pPr>
    </w:p>
    <w:p w:rsidR="00AB1412" w:rsidRPr="00A0510A" w:rsidRDefault="007F5E98" w:rsidP="00EB7754">
      <w:pPr>
        <w:spacing w:line="276" w:lineRule="auto"/>
        <w:ind w:right="-427" w:firstLine="709"/>
        <w:jc w:val="both"/>
        <w:rPr>
          <w:rFonts w:ascii="Verdana" w:hAnsi="Verdana" w:cs="Arial"/>
          <w:snapToGrid w:val="0"/>
        </w:rPr>
      </w:pPr>
      <w:r w:rsidRPr="00A0510A">
        <w:rPr>
          <w:rFonts w:ascii="Verdana" w:hAnsi="Verdana" w:cs="Arial"/>
          <w:snapToGrid w:val="0"/>
        </w:rPr>
        <w:t xml:space="preserve">a) Exercício da função no mês do pagamento; </w:t>
      </w:r>
    </w:p>
    <w:p w:rsidR="00AB1412" w:rsidRPr="00A0510A" w:rsidRDefault="007F5E98" w:rsidP="00EB7754">
      <w:pPr>
        <w:spacing w:line="276" w:lineRule="auto"/>
        <w:ind w:right="-427" w:firstLine="709"/>
        <w:jc w:val="both"/>
        <w:rPr>
          <w:rFonts w:ascii="Verdana" w:hAnsi="Verdana" w:cs="Arial"/>
          <w:snapToGrid w:val="0"/>
        </w:rPr>
      </w:pPr>
      <w:r w:rsidRPr="00A0510A">
        <w:rPr>
          <w:rFonts w:ascii="Verdana" w:hAnsi="Verdana" w:cs="Arial"/>
          <w:snapToGrid w:val="0"/>
        </w:rPr>
        <w:t xml:space="preserve">b) Gozo de licença gestante; </w:t>
      </w:r>
    </w:p>
    <w:p w:rsidR="00AB1412" w:rsidRDefault="007F5E98" w:rsidP="00EB7754">
      <w:pPr>
        <w:spacing w:line="276" w:lineRule="auto"/>
        <w:ind w:right="-427" w:firstLine="709"/>
        <w:jc w:val="both"/>
        <w:rPr>
          <w:rFonts w:ascii="Verdana" w:hAnsi="Verdana" w:cs="Arial"/>
          <w:snapToGrid w:val="0"/>
        </w:rPr>
      </w:pPr>
      <w:r w:rsidRPr="00A0510A">
        <w:rPr>
          <w:rFonts w:ascii="Verdana" w:hAnsi="Verdana" w:cs="Arial"/>
          <w:snapToGrid w:val="0"/>
        </w:rPr>
        <w:t>c) Gozo de licença remunerada</w:t>
      </w:r>
      <w:r w:rsidRPr="00AB1412">
        <w:rPr>
          <w:rFonts w:ascii="Verdana" w:hAnsi="Verdana" w:cs="Arial"/>
          <w:snapToGrid w:val="0"/>
        </w:rPr>
        <w:t>.</w:t>
      </w:r>
    </w:p>
    <w:p w:rsidR="00BC2763" w:rsidRDefault="00BC2763" w:rsidP="00EB7754">
      <w:pPr>
        <w:spacing w:line="276" w:lineRule="auto"/>
        <w:ind w:right="-427" w:firstLine="709"/>
        <w:jc w:val="both"/>
        <w:rPr>
          <w:rFonts w:ascii="Verdana" w:hAnsi="Verdana" w:cs="Arial"/>
          <w:snapToGrid w:val="0"/>
        </w:rPr>
      </w:pPr>
    </w:p>
    <w:p w:rsidR="00AB1412" w:rsidRDefault="007F5E98" w:rsidP="00BC2763">
      <w:pPr>
        <w:spacing w:line="276" w:lineRule="auto"/>
        <w:ind w:right="-427" w:firstLine="709"/>
        <w:jc w:val="both"/>
        <w:rPr>
          <w:rFonts w:ascii="Verdana" w:hAnsi="Verdana" w:cs="Arial"/>
          <w:snapToGrid w:val="0"/>
        </w:rPr>
      </w:pPr>
      <w:r w:rsidRPr="00AB1412">
        <w:rPr>
          <w:rFonts w:ascii="Verdana" w:hAnsi="Verdana" w:cs="Arial"/>
          <w:b/>
          <w:snapToGrid w:val="0"/>
        </w:rPr>
        <w:t xml:space="preserve">§ 1º. </w:t>
      </w:r>
      <w:r w:rsidRPr="00AB1412">
        <w:rPr>
          <w:rFonts w:ascii="Verdana" w:hAnsi="Verdana" w:cs="Arial"/>
          <w:snapToGrid w:val="0"/>
        </w:rPr>
        <w:t>Os servidores efetivos ou comissionados que forem exonerados, demitidos, aposentados antes da vigência desta Lei</w:t>
      </w:r>
      <w:r w:rsidR="00F95A4D" w:rsidRPr="00AB1412">
        <w:rPr>
          <w:rFonts w:ascii="Verdana" w:hAnsi="Verdana" w:cs="Arial"/>
          <w:snapToGrid w:val="0"/>
        </w:rPr>
        <w:t xml:space="preserve"> </w:t>
      </w:r>
      <w:r w:rsidRPr="00AB1412">
        <w:rPr>
          <w:rFonts w:ascii="Verdana" w:hAnsi="Verdana" w:cs="Arial"/>
          <w:snapToGrid w:val="0"/>
        </w:rPr>
        <w:t xml:space="preserve">farão jus ao </w:t>
      </w:r>
      <w:r w:rsidR="00F95A4D">
        <w:rPr>
          <w:rFonts w:ascii="Verdana" w:hAnsi="Verdana" w:cs="Arial"/>
          <w:snapToGrid w:val="0"/>
        </w:rPr>
        <w:t xml:space="preserve">recebimento do Abono FUNDEB proporcional aos meses trabalhados. </w:t>
      </w:r>
    </w:p>
    <w:p w:rsidR="00BC2763" w:rsidRPr="00BC2763" w:rsidRDefault="00BC2763" w:rsidP="00BC2763">
      <w:pPr>
        <w:spacing w:line="276" w:lineRule="auto"/>
        <w:ind w:right="-427" w:firstLine="709"/>
        <w:jc w:val="both"/>
        <w:rPr>
          <w:rFonts w:ascii="Verdana" w:hAnsi="Verdana" w:cs="Arial"/>
          <w:snapToGrid w:val="0"/>
          <w:sz w:val="18"/>
        </w:rPr>
      </w:pPr>
    </w:p>
    <w:p w:rsidR="00AB1412" w:rsidRDefault="007F5E98" w:rsidP="00BC2763">
      <w:pPr>
        <w:spacing w:line="276" w:lineRule="auto"/>
        <w:ind w:right="-427" w:firstLine="709"/>
        <w:jc w:val="both"/>
        <w:rPr>
          <w:rFonts w:ascii="Verdana" w:hAnsi="Verdana" w:cs="Arial"/>
          <w:snapToGrid w:val="0"/>
        </w:rPr>
      </w:pPr>
      <w:r w:rsidRPr="00AB1412">
        <w:rPr>
          <w:rFonts w:ascii="Verdana" w:hAnsi="Verdana" w:cs="Arial"/>
          <w:b/>
          <w:snapToGrid w:val="0"/>
        </w:rPr>
        <w:t xml:space="preserve">§ 2º. </w:t>
      </w:r>
      <w:r w:rsidRPr="00AB1412">
        <w:rPr>
          <w:rFonts w:ascii="Verdana" w:hAnsi="Verdana" w:cs="Arial"/>
          <w:snapToGrid w:val="0"/>
        </w:rPr>
        <w:t>Os servidores contratados, cujos contratos extinguirem-se antes da vigência desta Lei, farão jus ao pagamento do Abono-FUNDEB</w:t>
      </w:r>
      <w:r w:rsidR="00F95A4D">
        <w:rPr>
          <w:rFonts w:ascii="Verdana" w:hAnsi="Verdana" w:cs="Arial"/>
          <w:snapToGrid w:val="0"/>
        </w:rPr>
        <w:t xml:space="preserve"> proporcional aos meses trabalhados</w:t>
      </w:r>
      <w:r w:rsidRPr="00AB1412">
        <w:rPr>
          <w:rFonts w:ascii="Verdana" w:hAnsi="Verdana" w:cs="Arial"/>
          <w:snapToGrid w:val="0"/>
        </w:rPr>
        <w:t>.</w:t>
      </w:r>
    </w:p>
    <w:p w:rsidR="00BC2763" w:rsidRPr="00BC2763" w:rsidRDefault="00BC2763" w:rsidP="00BC2763">
      <w:pPr>
        <w:spacing w:line="276" w:lineRule="auto"/>
        <w:ind w:right="-427" w:firstLine="709"/>
        <w:jc w:val="both"/>
        <w:rPr>
          <w:rFonts w:ascii="Verdana" w:hAnsi="Verdana" w:cs="Arial"/>
          <w:snapToGrid w:val="0"/>
          <w:sz w:val="18"/>
        </w:rPr>
      </w:pPr>
    </w:p>
    <w:p w:rsidR="00AB1412" w:rsidRDefault="007F5E98" w:rsidP="00BC2763">
      <w:pPr>
        <w:spacing w:line="276" w:lineRule="auto"/>
        <w:ind w:right="-427" w:firstLine="709"/>
        <w:jc w:val="both"/>
        <w:rPr>
          <w:rFonts w:ascii="Verdana" w:hAnsi="Verdana" w:cs="Arial"/>
          <w:b/>
          <w:snapToGrid w:val="0"/>
        </w:rPr>
      </w:pPr>
      <w:r w:rsidRPr="00AB1412">
        <w:rPr>
          <w:rFonts w:ascii="Verdana" w:hAnsi="Verdana" w:cs="Arial"/>
          <w:b/>
          <w:snapToGrid w:val="0"/>
        </w:rPr>
        <w:t>§ 3º</w:t>
      </w:r>
      <w:r w:rsidRPr="00AB1412">
        <w:rPr>
          <w:rFonts w:ascii="Verdana" w:hAnsi="Verdana" w:cs="Arial"/>
          <w:snapToGrid w:val="0"/>
        </w:rPr>
        <w:t>. O servidor que estiver em licença sem remuneração e que tenha trabalhado no Exercício de 2021, em data anterior à vigência desta Lei, fará jus ao Abono FUNDEB</w:t>
      </w:r>
      <w:r w:rsidR="008C5CE6">
        <w:rPr>
          <w:rFonts w:ascii="Verdana" w:hAnsi="Verdana" w:cs="Arial"/>
          <w:snapToGrid w:val="0"/>
        </w:rPr>
        <w:t xml:space="preserve"> proporcional aos meses trabalhados com efetivo exercício da função</w:t>
      </w:r>
      <w:r w:rsidRPr="00AB1412">
        <w:rPr>
          <w:rFonts w:ascii="Verdana" w:hAnsi="Verdana" w:cs="Arial"/>
          <w:snapToGrid w:val="0"/>
        </w:rPr>
        <w:t>.</w:t>
      </w:r>
      <w:r w:rsidRPr="00AB1412">
        <w:rPr>
          <w:rFonts w:ascii="Verdana" w:hAnsi="Verdana" w:cs="Arial"/>
          <w:b/>
          <w:snapToGrid w:val="0"/>
        </w:rPr>
        <w:t xml:space="preserve"> </w:t>
      </w:r>
    </w:p>
    <w:p w:rsidR="00BC2763" w:rsidRPr="00BC2763" w:rsidRDefault="00BC2763" w:rsidP="00BC2763">
      <w:pPr>
        <w:spacing w:line="276" w:lineRule="auto"/>
        <w:ind w:right="-427" w:firstLine="709"/>
        <w:jc w:val="both"/>
        <w:rPr>
          <w:rFonts w:ascii="Verdana" w:hAnsi="Verdana" w:cs="Arial"/>
          <w:b/>
          <w:snapToGrid w:val="0"/>
          <w:sz w:val="18"/>
        </w:rPr>
      </w:pPr>
    </w:p>
    <w:p w:rsidR="00AB1412" w:rsidRPr="00AB1412" w:rsidRDefault="007F5E98" w:rsidP="00BC2763">
      <w:pPr>
        <w:spacing w:line="276" w:lineRule="auto"/>
        <w:ind w:right="-427" w:firstLine="709"/>
        <w:jc w:val="both"/>
        <w:rPr>
          <w:rFonts w:ascii="Verdana" w:hAnsi="Verdana" w:cs="Arial"/>
          <w:b/>
          <w:snapToGrid w:val="0"/>
        </w:rPr>
      </w:pPr>
      <w:r w:rsidRPr="00AB1412">
        <w:rPr>
          <w:rFonts w:ascii="Verdana" w:hAnsi="Verdana" w:cs="Arial"/>
          <w:b/>
          <w:snapToGrid w:val="0"/>
        </w:rPr>
        <w:t xml:space="preserve">§ </w:t>
      </w:r>
      <w:r w:rsidR="008C5CE6">
        <w:rPr>
          <w:rFonts w:ascii="Verdana" w:hAnsi="Verdana" w:cs="Arial"/>
          <w:b/>
          <w:snapToGrid w:val="0"/>
        </w:rPr>
        <w:t>4</w:t>
      </w:r>
      <w:r w:rsidRPr="00AB1412">
        <w:rPr>
          <w:rFonts w:ascii="Verdana" w:hAnsi="Verdana" w:cs="Arial"/>
          <w:b/>
          <w:snapToGrid w:val="0"/>
        </w:rPr>
        <w:t xml:space="preserve">º. </w:t>
      </w:r>
      <w:r w:rsidRPr="00AB1412">
        <w:rPr>
          <w:rFonts w:ascii="Verdana" w:hAnsi="Verdana" w:cs="Arial"/>
          <w:snapToGrid w:val="0"/>
        </w:rPr>
        <w:t>Não se aplica a regra deste parágrafo aos casos comprovados de acidente de trabalho, doenças profissionais e, das seguintes moléstias: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e síndrome da imunodeficiência adquirida, e outras que lei federal específica vier a dispor, mediante atestado que comprove a sua ocorrência.</w:t>
      </w:r>
    </w:p>
    <w:p w:rsidR="00BC2763" w:rsidRDefault="00BC2763" w:rsidP="00BC2763">
      <w:pPr>
        <w:spacing w:line="276" w:lineRule="auto"/>
        <w:ind w:right="-427" w:firstLine="709"/>
        <w:jc w:val="both"/>
        <w:rPr>
          <w:rFonts w:ascii="Verdana" w:hAnsi="Verdana" w:cs="Arial"/>
          <w:b/>
          <w:snapToGrid w:val="0"/>
        </w:rPr>
      </w:pPr>
    </w:p>
    <w:p w:rsidR="00AB1412" w:rsidRDefault="007F5E98" w:rsidP="00BC2763">
      <w:pPr>
        <w:spacing w:line="276" w:lineRule="auto"/>
        <w:ind w:right="-427" w:firstLine="709"/>
        <w:jc w:val="both"/>
        <w:rPr>
          <w:rFonts w:ascii="Verdana" w:hAnsi="Verdana" w:cs="Arial"/>
          <w:snapToGrid w:val="0"/>
        </w:rPr>
      </w:pPr>
      <w:r w:rsidRPr="00AB1412">
        <w:rPr>
          <w:rFonts w:ascii="Verdana" w:hAnsi="Verdana" w:cs="Arial"/>
          <w:b/>
          <w:snapToGrid w:val="0"/>
        </w:rPr>
        <w:t xml:space="preserve">§ 5º. </w:t>
      </w:r>
      <w:r w:rsidRPr="00AB1412">
        <w:rPr>
          <w:rFonts w:ascii="Verdana" w:hAnsi="Verdana" w:cs="Arial"/>
          <w:snapToGrid w:val="0"/>
        </w:rPr>
        <w:t>Os servidores que se afastaram por licença para acompanhar familiar, por período superior a 30 dias, no período observado, conforme previsto no art. 7º desta Lei, farão jus ao Abono-FUNDEB</w:t>
      </w:r>
      <w:r w:rsidR="008C5CE6">
        <w:rPr>
          <w:rFonts w:ascii="Verdana" w:hAnsi="Verdana" w:cs="Arial"/>
          <w:snapToGrid w:val="0"/>
        </w:rPr>
        <w:t xml:space="preserve"> proporcional aos meses em efetivo exercício no cargo. </w:t>
      </w:r>
    </w:p>
    <w:p w:rsidR="008C5CE6" w:rsidRDefault="008C5CE6" w:rsidP="00BC2763">
      <w:pPr>
        <w:spacing w:line="276" w:lineRule="auto"/>
        <w:ind w:right="-427" w:firstLine="709"/>
        <w:jc w:val="both"/>
        <w:rPr>
          <w:rFonts w:ascii="Verdana" w:hAnsi="Verdana" w:cs="Arial"/>
          <w:snapToGrid w:val="0"/>
        </w:rPr>
      </w:pPr>
    </w:p>
    <w:p w:rsidR="008C5CE6" w:rsidRDefault="008C5CE6" w:rsidP="00BC2763">
      <w:pPr>
        <w:spacing w:line="276" w:lineRule="auto"/>
        <w:ind w:right="-427" w:firstLine="709"/>
        <w:jc w:val="both"/>
        <w:rPr>
          <w:rFonts w:ascii="Verdana" w:hAnsi="Verdana" w:cs="Arial"/>
          <w:snapToGrid w:val="0"/>
        </w:rPr>
      </w:pPr>
    </w:p>
    <w:p w:rsidR="008C5CE6" w:rsidRPr="00AB1412" w:rsidRDefault="008C5CE6" w:rsidP="00BC2763">
      <w:pPr>
        <w:spacing w:line="276" w:lineRule="auto"/>
        <w:ind w:right="-427" w:firstLine="709"/>
        <w:jc w:val="both"/>
        <w:rPr>
          <w:rFonts w:ascii="Verdana" w:hAnsi="Verdana" w:cs="Arial"/>
          <w:b/>
          <w:snapToGrid w:val="0"/>
        </w:rPr>
      </w:pPr>
    </w:p>
    <w:p w:rsidR="00BC2763" w:rsidRPr="00BC2763" w:rsidRDefault="00BC2763" w:rsidP="00BC2763">
      <w:pPr>
        <w:spacing w:line="276" w:lineRule="auto"/>
        <w:ind w:right="-427" w:firstLine="709"/>
        <w:jc w:val="both"/>
        <w:rPr>
          <w:rFonts w:ascii="Verdana" w:hAnsi="Verdana" w:cs="Arial"/>
          <w:b/>
          <w:snapToGrid w:val="0"/>
          <w:sz w:val="18"/>
        </w:rPr>
      </w:pPr>
    </w:p>
    <w:p w:rsidR="00AB1412" w:rsidRDefault="007F5E98" w:rsidP="00BC2763">
      <w:pPr>
        <w:spacing w:line="276" w:lineRule="auto"/>
        <w:ind w:right="-427" w:firstLine="709"/>
        <w:jc w:val="both"/>
        <w:rPr>
          <w:rFonts w:ascii="Verdana" w:hAnsi="Verdana" w:cs="Arial"/>
          <w:snapToGrid w:val="0"/>
        </w:rPr>
      </w:pPr>
      <w:r w:rsidRPr="00AB1412">
        <w:rPr>
          <w:rFonts w:ascii="Verdana" w:hAnsi="Verdana" w:cs="Arial"/>
          <w:b/>
          <w:snapToGrid w:val="0"/>
        </w:rPr>
        <w:t xml:space="preserve">Art. 4º. </w:t>
      </w:r>
      <w:r w:rsidRPr="00AB1412">
        <w:rPr>
          <w:rFonts w:ascii="Verdana" w:hAnsi="Verdana" w:cs="Arial"/>
          <w:snapToGrid w:val="0"/>
        </w:rPr>
        <w:t xml:space="preserve">O valor do abono será pago aos servidores na forma prevista em regulamento, observados os seguintes critérios: </w:t>
      </w:r>
    </w:p>
    <w:p w:rsidR="00BC2763" w:rsidRPr="00BC2763" w:rsidRDefault="00BC2763" w:rsidP="00BC2763">
      <w:pPr>
        <w:spacing w:line="276" w:lineRule="auto"/>
        <w:ind w:right="-427" w:firstLine="709"/>
        <w:jc w:val="both"/>
        <w:rPr>
          <w:rFonts w:ascii="Verdana" w:hAnsi="Verdana" w:cs="Arial"/>
          <w:snapToGrid w:val="0"/>
          <w:sz w:val="18"/>
        </w:rPr>
      </w:pPr>
    </w:p>
    <w:p w:rsidR="00AB1412" w:rsidRDefault="007F5E98" w:rsidP="00BC2763">
      <w:pPr>
        <w:spacing w:line="276" w:lineRule="auto"/>
        <w:ind w:right="-427" w:firstLine="709"/>
        <w:jc w:val="both"/>
        <w:rPr>
          <w:rFonts w:ascii="Verdana" w:hAnsi="Verdana" w:cs="Arial"/>
          <w:snapToGrid w:val="0"/>
        </w:rPr>
      </w:pPr>
      <w:r w:rsidRPr="00AB1412">
        <w:rPr>
          <w:rFonts w:ascii="Verdana" w:hAnsi="Verdana" w:cs="Arial"/>
          <w:snapToGrid w:val="0"/>
        </w:rPr>
        <w:t xml:space="preserve">I – não poderá ser superior a 50% (cinquenta por cento) da remuneração bruta anual do servidor; </w:t>
      </w:r>
    </w:p>
    <w:p w:rsidR="00BC2763" w:rsidRPr="00BC2763" w:rsidRDefault="00BC2763" w:rsidP="00BC2763">
      <w:pPr>
        <w:spacing w:line="276" w:lineRule="auto"/>
        <w:ind w:right="-427" w:firstLine="709"/>
        <w:jc w:val="both"/>
        <w:rPr>
          <w:rFonts w:ascii="Verdana" w:hAnsi="Verdana" w:cs="Arial"/>
          <w:snapToGrid w:val="0"/>
          <w:sz w:val="18"/>
        </w:rPr>
      </w:pPr>
    </w:p>
    <w:p w:rsidR="00AB1412" w:rsidRDefault="007F5E98" w:rsidP="00BC2763">
      <w:pPr>
        <w:spacing w:line="276" w:lineRule="auto"/>
        <w:ind w:right="-427" w:firstLine="709"/>
        <w:jc w:val="both"/>
        <w:rPr>
          <w:rFonts w:ascii="Verdana" w:hAnsi="Verdana" w:cs="Arial"/>
          <w:snapToGrid w:val="0"/>
        </w:rPr>
      </w:pPr>
      <w:r w:rsidRPr="00AB1412">
        <w:rPr>
          <w:rFonts w:ascii="Verdana" w:hAnsi="Verdana" w:cs="Arial"/>
          <w:snapToGrid w:val="0"/>
        </w:rPr>
        <w:t>II – será concedido de forma proporcional à média de carga horária atribuída ao servidor no exercício de 2021, incluída a carga horária suplementar, aferida nos períodos estabelecidos no artigo 7º desta lei;</w:t>
      </w:r>
    </w:p>
    <w:p w:rsidR="00BC2763" w:rsidRPr="00BC2763" w:rsidRDefault="00BC2763" w:rsidP="00BC2763">
      <w:pPr>
        <w:spacing w:line="276" w:lineRule="auto"/>
        <w:ind w:right="-427" w:firstLine="709"/>
        <w:jc w:val="both"/>
        <w:rPr>
          <w:rFonts w:ascii="Verdana" w:hAnsi="Verdana" w:cs="Arial"/>
          <w:snapToGrid w:val="0"/>
          <w:sz w:val="18"/>
        </w:rPr>
      </w:pPr>
    </w:p>
    <w:p w:rsidR="00AB1412" w:rsidRDefault="007F5E98" w:rsidP="00BC2763">
      <w:pPr>
        <w:spacing w:line="276" w:lineRule="auto"/>
        <w:ind w:right="-427" w:firstLine="709"/>
        <w:jc w:val="both"/>
        <w:rPr>
          <w:rFonts w:ascii="Verdana" w:hAnsi="Verdana" w:cs="Arial"/>
          <w:snapToGrid w:val="0"/>
        </w:rPr>
      </w:pPr>
      <w:r w:rsidRPr="00AB1412">
        <w:rPr>
          <w:rFonts w:ascii="Verdana" w:hAnsi="Verdana" w:cs="Arial"/>
          <w:b/>
          <w:snapToGrid w:val="0"/>
        </w:rPr>
        <w:t xml:space="preserve">§ 1º. </w:t>
      </w:r>
      <w:r w:rsidRPr="00AB1412">
        <w:rPr>
          <w:rFonts w:ascii="Verdana" w:hAnsi="Verdana" w:cs="Arial"/>
          <w:snapToGrid w:val="0"/>
        </w:rPr>
        <w:t>Caso o servidor seja titular de mais de um vínculo com a Secretaria Municipal de Educação, fará “jus”, em face de acumulação prevista constitucionalmente, ao recebimento do valor do abono nos respectivos vínculos, calculado na forma deste artigo.</w:t>
      </w:r>
    </w:p>
    <w:p w:rsidR="00BC2763" w:rsidRPr="00BC2763" w:rsidRDefault="00BC2763" w:rsidP="00BC2763">
      <w:pPr>
        <w:spacing w:line="276" w:lineRule="auto"/>
        <w:ind w:right="-427" w:firstLine="709"/>
        <w:jc w:val="both"/>
        <w:rPr>
          <w:rFonts w:ascii="Verdana" w:hAnsi="Verdana" w:cs="Arial"/>
          <w:snapToGrid w:val="0"/>
          <w:sz w:val="18"/>
        </w:rPr>
      </w:pPr>
    </w:p>
    <w:p w:rsidR="00AB1412" w:rsidRDefault="007F5E98" w:rsidP="00BC2763">
      <w:pPr>
        <w:spacing w:line="276" w:lineRule="auto"/>
        <w:ind w:right="-427" w:firstLine="709"/>
        <w:jc w:val="both"/>
        <w:rPr>
          <w:rFonts w:ascii="Verdana" w:hAnsi="Verdana" w:cs="Arial"/>
          <w:snapToGrid w:val="0"/>
        </w:rPr>
      </w:pPr>
      <w:r w:rsidRPr="00AB1412">
        <w:rPr>
          <w:rFonts w:ascii="Verdana" w:hAnsi="Verdana" w:cs="Arial"/>
          <w:b/>
          <w:snapToGrid w:val="0"/>
        </w:rPr>
        <w:t xml:space="preserve">§ 2º. </w:t>
      </w:r>
      <w:r w:rsidRPr="00AB1412">
        <w:rPr>
          <w:rFonts w:ascii="Verdana" w:hAnsi="Verdana" w:cs="Arial"/>
          <w:snapToGrid w:val="0"/>
        </w:rPr>
        <w:t xml:space="preserve">O abono será calculado de forma proporcional, observados os termos desta Lei e do decreto regulamentar, para os profissionais que ingressaram no serviço público durante o Exercício de 2021 nas formas seguintes: </w:t>
      </w:r>
    </w:p>
    <w:p w:rsidR="00BC2763" w:rsidRPr="00BC2763" w:rsidRDefault="00BC2763" w:rsidP="00BC2763">
      <w:pPr>
        <w:spacing w:line="276" w:lineRule="auto"/>
        <w:ind w:right="-427" w:firstLine="709"/>
        <w:jc w:val="both"/>
        <w:rPr>
          <w:rFonts w:ascii="Verdana" w:hAnsi="Verdana" w:cs="Arial"/>
          <w:snapToGrid w:val="0"/>
          <w:sz w:val="18"/>
        </w:rPr>
      </w:pPr>
    </w:p>
    <w:p w:rsidR="00AB1412" w:rsidRDefault="007F5E98" w:rsidP="00BC2763">
      <w:pPr>
        <w:spacing w:line="276" w:lineRule="auto"/>
        <w:ind w:right="-427" w:firstLine="709"/>
        <w:jc w:val="both"/>
        <w:rPr>
          <w:rFonts w:ascii="Verdana" w:hAnsi="Verdana" w:cs="Arial"/>
          <w:snapToGrid w:val="0"/>
        </w:rPr>
      </w:pPr>
      <w:r w:rsidRPr="00AB1412">
        <w:rPr>
          <w:rFonts w:ascii="Verdana" w:hAnsi="Verdana" w:cs="Arial"/>
          <w:snapToGrid w:val="0"/>
        </w:rPr>
        <w:t xml:space="preserve">a) Considerando o número de meses trabalhados no período observado conforme previsto no art. 7º desta Lei; </w:t>
      </w:r>
    </w:p>
    <w:p w:rsidR="00BC2763" w:rsidRPr="00BC2763" w:rsidRDefault="00BC2763" w:rsidP="00BC2763">
      <w:pPr>
        <w:spacing w:line="276" w:lineRule="auto"/>
        <w:ind w:right="-427" w:firstLine="709"/>
        <w:jc w:val="both"/>
        <w:rPr>
          <w:rFonts w:ascii="Verdana" w:hAnsi="Verdana" w:cs="Arial"/>
          <w:snapToGrid w:val="0"/>
          <w:sz w:val="18"/>
        </w:rPr>
      </w:pPr>
    </w:p>
    <w:p w:rsidR="00AB1412" w:rsidRDefault="007F5E98" w:rsidP="00BC2763">
      <w:pPr>
        <w:spacing w:line="276" w:lineRule="auto"/>
        <w:ind w:right="-427" w:firstLine="709"/>
        <w:jc w:val="both"/>
        <w:rPr>
          <w:rFonts w:ascii="Verdana" w:hAnsi="Verdana" w:cs="Arial"/>
          <w:snapToGrid w:val="0"/>
        </w:rPr>
      </w:pPr>
      <w:r w:rsidRPr="00AB1412">
        <w:rPr>
          <w:rFonts w:ascii="Verdana" w:hAnsi="Verdana" w:cs="Arial"/>
          <w:snapToGrid w:val="0"/>
        </w:rPr>
        <w:t xml:space="preserve">b) Para efeito da aplicação de cálculo do mês trabalhado, será considerado </w:t>
      </w:r>
      <w:proofErr w:type="gramStart"/>
      <w:r w:rsidRPr="00AB1412">
        <w:rPr>
          <w:rFonts w:ascii="Verdana" w:hAnsi="Verdana" w:cs="Arial"/>
          <w:snapToGrid w:val="0"/>
        </w:rPr>
        <w:t>1</w:t>
      </w:r>
      <w:proofErr w:type="gramEnd"/>
      <w:r w:rsidRPr="00AB1412">
        <w:rPr>
          <w:rFonts w:ascii="Verdana" w:hAnsi="Verdana" w:cs="Arial"/>
          <w:snapToGrid w:val="0"/>
        </w:rPr>
        <w:t xml:space="preserve"> (um) mês completo as frações igual ou superior a 15 (quinze) dias trabalhados; </w:t>
      </w:r>
    </w:p>
    <w:p w:rsidR="00BC2763" w:rsidRPr="00BC2763" w:rsidRDefault="00BC2763" w:rsidP="00BC2763">
      <w:pPr>
        <w:spacing w:line="276" w:lineRule="auto"/>
        <w:ind w:right="-427" w:firstLine="709"/>
        <w:jc w:val="both"/>
        <w:rPr>
          <w:rFonts w:ascii="Verdana" w:hAnsi="Verdana" w:cs="Arial"/>
          <w:snapToGrid w:val="0"/>
          <w:sz w:val="18"/>
        </w:rPr>
      </w:pPr>
    </w:p>
    <w:p w:rsidR="00AB1412" w:rsidRDefault="007F5E98" w:rsidP="00BC2763">
      <w:pPr>
        <w:spacing w:line="276" w:lineRule="auto"/>
        <w:ind w:right="-427" w:firstLine="709"/>
        <w:jc w:val="both"/>
        <w:rPr>
          <w:rFonts w:ascii="Verdana" w:hAnsi="Verdana" w:cs="Arial"/>
          <w:snapToGrid w:val="0"/>
        </w:rPr>
      </w:pPr>
      <w:r w:rsidRPr="00AB1412">
        <w:rPr>
          <w:rFonts w:ascii="Verdana" w:hAnsi="Verdana" w:cs="Arial"/>
          <w:snapToGrid w:val="0"/>
        </w:rPr>
        <w:t>c) O valor da parcela será dividido por 12 (doze) e multiplicado pelo número de meses trabalhados.</w:t>
      </w:r>
    </w:p>
    <w:p w:rsidR="00BC2763" w:rsidRPr="00BC2763" w:rsidRDefault="00BC2763" w:rsidP="00BC2763">
      <w:pPr>
        <w:spacing w:line="276" w:lineRule="auto"/>
        <w:ind w:right="-427" w:firstLine="709"/>
        <w:jc w:val="both"/>
        <w:rPr>
          <w:rFonts w:ascii="Verdana" w:hAnsi="Verdana" w:cs="Arial"/>
          <w:snapToGrid w:val="0"/>
          <w:sz w:val="18"/>
        </w:rPr>
      </w:pPr>
    </w:p>
    <w:p w:rsidR="00AB1412" w:rsidRDefault="007F5E98" w:rsidP="00BC2763">
      <w:pPr>
        <w:spacing w:line="276" w:lineRule="auto"/>
        <w:ind w:right="-427" w:firstLine="709"/>
        <w:jc w:val="both"/>
        <w:rPr>
          <w:rFonts w:ascii="Verdana" w:hAnsi="Verdana" w:cs="Arial"/>
          <w:snapToGrid w:val="0"/>
        </w:rPr>
      </w:pPr>
      <w:r w:rsidRPr="00AB1412">
        <w:rPr>
          <w:rFonts w:ascii="Verdana" w:hAnsi="Verdana" w:cs="Arial"/>
          <w:b/>
          <w:snapToGrid w:val="0"/>
        </w:rPr>
        <w:t xml:space="preserve">Art. 5º. </w:t>
      </w:r>
      <w:r w:rsidRPr="00AB1412">
        <w:rPr>
          <w:rFonts w:ascii="Verdana" w:hAnsi="Verdana" w:cs="Arial"/>
          <w:snapToGrid w:val="0"/>
        </w:rPr>
        <w:t>No caso de o pagamento efetuado com base no artigo 4º desta Lei ser insuficiente para o fim previsto no artigo 1º deste instrumento legal, poderá ser paga parcela complementar, desde que, a soma dos valores das parcelas não ultrapasse 100% (cem por cento) da remuneração bruta anual do servidor.</w:t>
      </w:r>
    </w:p>
    <w:p w:rsidR="00BC2763" w:rsidRDefault="00BC2763" w:rsidP="00BC2763">
      <w:pPr>
        <w:spacing w:line="276" w:lineRule="auto"/>
        <w:ind w:right="-427" w:firstLine="709"/>
        <w:jc w:val="both"/>
        <w:rPr>
          <w:rFonts w:ascii="Verdana" w:hAnsi="Verdana" w:cs="Arial"/>
          <w:b/>
          <w:snapToGrid w:val="0"/>
        </w:rPr>
      </w:pPr>
    </w:p>
    <w:p w:rsidR="00AB1412" w:rsidRDefault="007F5E98" w:rsidP="00BC2763">
      <w:pPr>
        <w:spacing w:line="276" w:lineRule="auto"/>
        <w:ind w:right="-427" w:firstLine="709"/>
        <w:jc w:val="both"/>
        <w:rPr>
          <w:rFonts w:ascii="Verdana" w:hAnsi="Verdana" w:cs="Arial"/>
          <w:snapToGrid w:val="0"/>
        </w:rPr>
      </w:pPr>
      <w:r w:rsidRPr="00AB1412">
        <w:rPr>
          <w:rFonts w:ascii="Verdana" w:hAnsi="Verdana" w:cs="Arial"/>
          <w:b/>
          <w:snapToGrid w:val="0"/>
        </w:rPr>
        <w:t xml:space="preserve">Art. 6º. </w:t>
      </w:r>
      <w:r w:rsidRPr="00AB1412">
        <w:rPr>
          <w:rFonts w:ascii="Verdana" w:hAnsi="Verdana" w:cs="Arial"/>
          <w:snapToGrid w:val="0"/>
        </w:rPr>
        <w:t>O valor do abono não será incorporado aos vencimentos ou ao subsídio para nenhum efeito, bem como não será considerado para cálculo de qualquer vantagem pecuniária e sobre ele não incidirão os descontos previdenciários, de plano de saúde ou de entidade classista.</w:t>
      </w:r>
    </w:p>
    <w:p w:rsidR="00BC2763" w:rsidRPr="00BC2763" w:rsidRDefault="00BC2763" w:rsidP="00BC2763">
      <w:pPr>
        <w:spacing w:line="276" w:lineRule="auto"/>
        <w:ind w:right="-427" w:firstLine="709"/>
        <w:jc w:val="both"/>
        <w:rPr>
          <w:rFonts w:ascii="Verdana" w:hAnsi="Verdana" w:cs="Arial"/>
          <w:snapToGrid w:val="0"/>
          <w:sz w:val="18"/>
        </w:rPr>
      </w:pPr>
    </w:p>
    <w:p w:rsidR="008C5CE6" w:rsidRDefault="008C5CE6" w:rsidP="00BC2763">
      <w:pPr>
        <w:spacing w:line="276" w:lineRule="auto"/>
        <w:ind w:right="-427" w:firstLine="709"/>
        <w:jc w:val="both"/>
        <w:rPr>
          <w:rFonts w:ascii="Verdana" w:hAnsi="Verdana" w:cs="Arial"/>
          <w:b/>
          <w:snapToGrid w:val="0"/>
        </w:rPr>
      </w:pPr>
    </w:p>
    <w:p w:rsidR="00AB1412" w:rsidRDefault="007F5E98" w:rsidP="00BC2763">
      <w:pPr>
        <w:spacing w:line="276" w:lineRule="auto"/>
        <w:ind w:right="-427" w:firstLine="709"/>
        <w:jc w:val="both"/>
        <w:rPr>
          <w:rFonts w:ascii="Verdana" w:hAnsi="Verdana" w:cs="Arial"/>
          <w:snapToGrid w:val="0"/>
        </w:rPr>
      </w:pPr>
      <w:r w:rsidRPr="00AB1412">
        <w:rPr>
          <w:rFonts w:ascii="Verdana" w:hAnsi="Verdana" w:cs="Arial"/>
          <w:b/>
          <w:snapToGrid w:val="0"/>
        </w:rPr>
        <w:t xml:space="preserve">Art. 7º. </w:t>
      </w:r>
      <w:r w:rsidRPr="00AB1412">
        <w:rPr>
          <w:rFonts w:ascii="Verdana" w:hAnsi="Verdana" w:cs="Arial"/>
          <w:snapToGrid w:val="0"/>
        </w:rPr>
        <w:t xml:space="preserve">Para cálculo do valor a que se referem os artigos 4º e 5º desta Lei serão considerados os seguintes períodos: </w:t>
      </w:r>
    </w:p>
    <w:p w:rsidR="00BC2763" w:rsidRPr="00BC2763" w:rsidRDefault="00BC2763" w:rsidP="00BC2763">
      <w:pPr>
        <w:spacing w:line="276" w:lineRule="auto"/>
        <w:ind w:right="-427" w:firstLine="709"/>
        <w:jc w:val="both"/>
        <w:rPr>
          <w:rFonts w:ascii="Verdana" w:hAnsi="Verdana" w:cs="Arial"/>
          <w:snapToGrid w:val="0"/>
          <w:sz w:val="18"/>
        </w:rPr>
      </w:pPr>
    </w:p>
    <w:p w:rsidR="00AB1412" w:rsidRDefault="007F5E98" w:rsidP="00BC2763">
      <w:pPr>
        <w:spacing w:line="276" w:lineRule="auto"/>
        <w:ind w:right="-427" w:firstLine="709"/>
        <w:jc w:val="both"/>
        <w:rPr>
          <w:rFonts w:ascii="Verdana" w:hAnsi="Verdana" w:cs="Arial"/>
          <w:snapToGrid w:val="0"/>
        </w:rPr>
      </w:pPr>
      <w:r w:rsidRPr="00AB1412">
        <w:rPr>
          <w:rFonts w:ascii="Verdana" w:hAnsi="Verdana" w:cs="Arial"/>
          <w:snapToGrid w:val="0"/>
        </w:rPr>
        <w:t xml:space="preserve">I – janeiro a outubro de 2021, para o pagamento da primeira parcela; </w:t>
      </w:r>
    </w:p>
    <w:p w:rsidR="00BC2763" w:rsidRPr="00BC2763" w:rsidRDefault="00BC2763" w:rsidP="00BC2763">
      <w:pPr>
        <w:spacing w:line="276" w:lineRule="auto"/>
        <w:ind w:right="-427" w:firstLine="709"/>
        <w:jc w:val="both"/>
        <w:rPr>
          <w:rFonts w:ascii="Verdana" w:hAnsi="Verdana" w:cs="Arial"/>
          <w:snapToGrid w:val="0"/>
          <w:sz w:val="18"/>
        </w:rPr>
      </w:pPr>
    </w:p>
    <w:p w:rsidR="00AB1412" w:rsidRDefault="007F5E98" w:rsidP="00BC2763">
      <w:pPr>
        <w:spacing w:line="276" w:lineRule="auto"/>
        <w:ind w:right="-427" w:firstLine="708"/>
        <w:jc w:val="both"/>
        <w:rPr>
          <w:rFonts w:ascii="Verdana" w:hAnsi="Verdana" w:cs="Arial"/>
          <w:snapToGrid w:val="0"/>
        </w:rPr>
      </w:pPr>
      <w:r w:rsidRPr="00AB1412">
        <w:rPr>
          <w:rFonts w:ascii="Verdana" w:hAnsi="Verdana" w:cs="Arial"/>
          <w:snapToGrid w:val="0"/>
        </w:rPr>
        <w:t>II – janeiro a novembro de 2021, para o pagamento de eventual parcela complementar.</w:t>
      </w:r>
    </w:p>
    <w:p w:rsidR="00BC2763" w:rsidRPr="00BC2763" w:rsidRDefault="00BC2763" w:rsidP="00BC2763">
      <w:pPr>
        <w:spacing w:line="276" w:lineRule="auto"/>
        <w:ind w:right="-427" w:firstLine="708"/>
        <w:jc w:val="both"/>
        <w:rPr>
          <w:rFonts w:ascii="Verdana" w:hAnsi="Verdana" w:cs="Arial"/>
          <w:snapToGrid w:val="0"/>
          <w:sz w:val="18"/>
        </w:rPr>
      </w:pPr>
    </w:p>
    <w:p w:rsidR="00AB1412" w:rsidRDefault="007F5E98" w:rsidP="00BC2763">
      <w:pPr>
        <w:spacing w:line="276" w:lineRule="auto"/>
        <w:ind w:right="-427" w:firstLine="708"/>
        <w:jc w:val="both"/>
        <w:rPr>
          <w:rFonts w:ascii="Verdana" w:hAnsi="Verdana" w:cs="Arial"/>
          <w:snapToGrid w:val="0"/>
        </w:rPr>
      </w:pPr>
      <w:r w:rsidRPr="00AB1412">
        <w:rPr>
          <w:rFonts w:ascii="Verdana" w:hAnsi="Verdana" w:cs="Arial"/>
          <w:b/>
          <w:snapToGrid w:val="0"/>
        </w:rPr>
        <w:t xml:space="preserve">Art. 8º. </w:t>
      </w:r>
      <w:r w:rsidRPr="00AB1412">
        <w:rPr>
          <w:rFonts w:ascii="Verdana" w:hAnsi="Verdana" w:cs="Arial"/>
          <w:snapToGrid w:val="0"/>
        </w:rPr>
        <w:t>O disposto nesta Lei não se aplica aos inativos e pensionistas.</w:t>
      </w:r>
    </w:p>
    <w:p w:rsidR="00BC2763" w:rsidRPr="00BC2763" w:rsidRDefault="00BC2763" w:rsidP="00BC2763">
      <w:pPr>
        <w:spacing w:line="276" w:lineRule="auto"/>
        <w:ind w:right="-427" w:firstLine="708"/>
        <w:jc w:val="both"/>
        <w:rPr>
          <w:rFonts w:ascii="Verdana" w:hAnsi="Verdana" w:cs="Arial"/>
          <w:snapToGrid w:val="0"/>
          <w:sz w:val="18"/>
        </w:rPr>
      </w:pPr>
    </w:p>
    <w:p w:rsidR="00AB1412" w:rsidRDefault="007F5E98" w:rsidP="00BC2763">
      <w:pPr>
        <w:spacing w:line="276" w:lineRule="auto"/>
        <w:ind w:right="-427" w:firstLine="708"/>
        <w:jc w:val="both"/>
        <w:rPr>
          <w:rFonts w:ascii="Verdana" w:hAnsi="Verdana" w:cs="Arial"/>
          <w:snapToGrid w:val="0"/>
        </w:rPr>
      </w:pPr>
      <w:r w:rsidRPr="00AB1412">
        <w:rPr>
          <w:rFonts w:ascii="Verdana" w:hAnsi="Verdana" w:cs="Arial"/>
          <w:b/>
          <w:snapToGrid w:val="0"/>
        </w:rPr>
        <w:t xml:space="preserve">Art. 9º. </w:t>
      </w:r>
      <w:r w:rsidRPr="00AB1412">
        <w:rPr>
          <w:rFonts w:ascii="Verdana" w:hAnsi="Verdana" w:cs="Arial"/>
          <w:snapToGrid w:val="0"/>
        </w:rPr>
        <w:t>As despesas decorrentes desta lei correrão à conta das dotações próprias consignadas no orçamento vigente, ficando o Poder Executivo autorizado a abrir, para o corrente Exercício, nos termos do artigo 43 da Lei federal nº 4.320, de 17 de março de 1964, créditos suplementares a</w:t>
      </w:r>
      <w:r w:rsidR="00A0510A">
        <w:rPr>
          <w:rFonts w:ascii="Verdana" w:hAnsi="Verdana" w:cs="Arial"/>
          <w:snapToGrid w:val="0"/>
        </w:rPr>
        <w:t>té o limite do montante de 70</w:t>
      </w:r>
      <w:r w:rsidRPr="00AB1412">
        <w:rPr>
          <w:rFonts w:ascii="Verdana" w:hAnsi="Verdana" w:cs="Arial"/>
          <w:snapToGrid w:val="0"/>
        </w:rPr>
        <w:t>% (setenta inteiros por cento) dos recursos disponíveis na conta municipal do FUNDEB, relativos ao Exercício de 2021.</w:t>
      </w:r>
    </w:p>
    <w:p w:rsidR="00BC2763" w:rsidRPr="00BC2763" w:rsidRDefault="00BC2763" w:rsidP="00BC2763">
      <w:pPr>
        <w:spacing w:line="276" w:lineRule="auto"/>
        <w:ind w:right="-427" w:firstLine="708"/>
        <w:jc w:val="both"/>
        <w:rPr>
          <w:rFonts w:ascii="Verdana" w:hAnsi="Verdana" w:cs="Arial"/>
          <w:snapToGrid w:val="0"/>
          <w:sz w:val="18"/>
        </w:rPr>
      </w:pPr>
    </w:p>
    <w:p w:rsidR="00AB1412" w:rsidRDefault="007F5E98" w:rsidP="00BC2763">
      <w:pPr>
        <w:spacing w:line="276" w:lineRule="auto"/>
        <w:ind w:right="-427" w:firstLine="708"/>
        <w:jc w:val="both"/>
        <w:rPr>
          <w:rFonts w:ascii="Verdana" w:hAnsi="Verdana" w:cs="Arial"/>
          <w:snapToGrid w:val="0"/>
        </w:rPr>
      </w:pPr>
      <w:r w:rsidRPr="00AB1412">
        <w:rPr>
          <w:rFonts w:ascii="Verdana" w:hAnsi="Verdana" w:cs="Arial"/>
          <w:b/>
          <w:snapToGrid w:val="0"/>
        </w:rPr>
        <w:t>Art. 10.</w:t>
      </w:r>
      <w:r>
        <w:rPr>
          <w:rFonts w:ascii="Verdana" w:hAnsi="Verdana" w:cs="Arial"/>
          <w:b/>
          <w:snapToGrid w:val="0"/>
        </w:rPr>
        <w:t xml:space="preserve"> </w:t>
      </w:r>
      <w:r w:rsidRPr="00AB1412">
        <w:rPr>
          <w:rFonts w:ascii="Verdana" w:hAnsi="Verdana" w:cs="Arial"/>
          <w:snapToGrid w:val="0"/>
        </w:rPr>
        <w:t>O Poder Executivo regulamentará por decreto, no que couber a presente lei.</w:t>
      </w:r>
    </w:p>
    <w:p w:rsidR="00BC2763" w:rsidRDefault="00BC2763" w:rsidP="00BC2763">
      <w:pPr>
        <w:spacing w:line="276" w:lineRule="auto"/>
        <w:ind w:right="-427" w:firstLine="708"/>
        <w:jc w:val="both"/>
        <w:rPr>
          <w:rFonts w:ascii="Verdana" w:hAnsi="Verdana" w:cs="Arial"/>
          <w:snapToGrid w:val="0"/>
        </w:rPr>
      </w:pPr>
    </w:p>
    <w:p w:rsidR="00AB1412" w:rsidRDefault="007F5E98" w:rsidP="00BC2763">
      <w:pPr>
        <w:spacing w:line="276" w:lineRule="auto"/>
        <w:ind w:right="-427" w:firstLine="708"/>
        <w:jc w:val="both"/>
        <w:rPr>
          <w:rFonts w:ascii="Verdana" w:hAnsi="Verdana" w:cs="Arial"/>
          <w:snapToGrid w:val="0"/>
        </w:rPr>
      </w:pPr>
      <w:r>
        <w:rPr>
          <w:rFonts w:ascii="Verdana" w:hAnsi="Verdana" w:cs="Arial"/>
          <w:b/>
          <w:snapToGrid w:val="0"/>
        </w:rPr>
        <w:t xml:space="preserve">Art. 11. </w:t>
      </w:r>
      <w:r w:rsidRPr="00AB1412">
        <w:rPr>
          <w:rFonts w:ascii="Verdana" w:hAnsi="Verdana" w:cs="Arial"/>
          <w:b/>
          <w:snapToGrid w:val="0"/>
        </w:rPr>
        <w:t xml:space="preserve"> </w:t>
      </w:r>
      <w:r w:rsidRPr="00AB1412">
        <w:rPr>
          <w:rFonts w:ascii="Verdana" w:hAnsi="Verdana" w:cs="Arial"/>
          <w:snapToGrid w:val="0"/>
        </w:rPr>
        <w:t>Esta Lei entra em vigor na data de sua Publicação.</w:t>
      </w:r>
    </w:p>
    <w:p w:rsidR="00AB1412" w:rsidRDefault="00AB1412" w:rsidP="00AB1412">
      <w:pPr>
        <w:spacing w:line="276" w:lineRule="auto"/>
        <w:ind w:right="-427" w:firstLine="1701"/>
        <w:jc w:val="both"/>
        <w:rPr>
          <w:rFonts w:ascii="Verdana" w:hAnsi="Verdana"/>
        </w:rPr>
      </w:pPr>
    </w:p>
    <w:p w:rsidR="00BC2763" w:rsidRPr="008C5CE6" w:rsidRDefault="00BC2763" w:rsidP="00AB1412">
      <w:pPr>
        <w:spacing w:line="276" w:lineRule="auto"/>
        <w:ind w:right="-427" w:firstLine="1701"/>
        <w:jc w:val="both"/>
        <w:rPr>
          <w:rFonts w:ascii="Verdana" w:hAnsi="Verdana"/>
          <w:sz w:val="20"/>
        </w:rPr>
      </w:pPr>
    </w:p>
    <w:p w:rsidR="00AB1412" w:rsidRPr="00CA2DC3" w:rsidRDefault="007F5E98" w:rsidP="00AB1412">
      <w:pPr>
        <w:spacing w:line="276" w:lineRule="auto"/>
        <w:ind w:left="180" w:right="-427"/>
        <w:jc w:val="center"/>
        <w:rPr>
          <w:rFonts w:ascii="Verdana" w:hAnsi="Verdana" w:cs="Arial"/>
          <w:b/>
        </w:rPr>
      </w:pPr>
      <w:r w:rsidRPr="00CA2DC3">
        <w:rPr>
          <w:rFonts w:ascii="Verdana" w:hAnsi="Verdana" w:cs="Arial"/>
          <w:b/>
        </w:rPr>
        <w:t xml:space="preserve">                                          </w:t>
      </w:r>
    </w:p>
    <w:p w:rsidR="00AB1412" w:rsidRPr="00945FA5" w:rsidRDefault="007F5E98" w:rsidP="00AB1412">
      <w:pPr>
        <w:widowControl w:val="0"/>
        <w:spacing w:line="276" w:lineRule="auto"/>
        <w:ind w:right="-427"/>
        <w:rPr>
          <w:rFonts w:ascii="Verdana" w:hAnsi="Verdana"/>
          <w:b/>
        </w:rPr>
      </w:pPr>
      <w:r w:rsidRPr="00945FA5">
        <w:rPr>
          <w:rFonts w:ascii="Verdana" w:hAnsi="Verdana"/>
          <w:b/>
        </w:rPr>
        <w:t>Justificativa.</w:t>
      </w:r>
    </w:p>
    <w:p w:rsidR="00AB1412" w:rsidRPr="00945FA5" w:rsidRDefault="00AB1412" w:rsidP="00AB1412">
      <w:pPr>
        <w:widowControl w:val="0"/>
        <w:spacing w:line="276" w:lineRule="auto"/>
        <w:ind w:right="-427" w:firstLine="11"/>
        <w:jc w:val="center"/>
        <w:rPr>
          <w:rFonts w:ascii="Verdana" w:hAnsi="Verdana"/>
        </w:rPr>
      </w:pPr>
    </w:p>
    <w:p w:rsidR="00BC2763" w:rsidRDefault="007F5E98" w:rsidP="00BC2763">
      <w:pPr>
        <w:widowControl w:val="0"/>
        <w:spacing w:line="276" w:lineRule="auto"/>
        <w:ind w:right="-427" w:firstLine="708"/>
        <w:jc w:val="both"/>
        <w:rPr>
          <w:rFonts w:ascii="Verdana" w:hAnsi="Verdana"/>
        </w:rPr>
      </w:pPr>
      <w:r w:rsidRPr="00945FA5">
        <w:rPr>
          <w:rFonts w:ascii="Verdana" w:hAnsi="Verdana"/>
        </w:rPr>
        <w:t xml:space="preserve">Nobres pares, submetemos à apreciação desta Casa Legislativa </w:t>
      </w:r>
      <w:r w:rsidR="00A0510A" w:rsidRPr="00A0510A">
        <w:rPr>
          <w:rFonts w:ascii="Verdana" w:hAnsi="Verdana"/>
        </w:rPr>
        <w:t>o</w:t>
      </w:r>
      <w:r w:rsidR="00A0510A">
        <w:rPr>
          <w:rFonts w:ascii="Verdana" w:hAnsi="Verdana"/>
        </w:rPr>
        <w:t xml:space="preserve"> presente </w:t>
      </w:r>
      <w:r w:rsidR="00A0510A" w:rsidRPr="00A0510A">
        <w:rPr>
          <w:rFonts w:ascii="Verdana" w:hAnsi="Verdana"/>
        </w:rPr>
        <w:t xml:space="preserve">Projeto de Lei que dispõe sobre a concessão de Abono-Fundeb, para o Exercício de 2021, aos Profissionais da Educação Básica da Rede Municipal de Ensino. Trata-se de autorização para pagamento de abono salarial, chamado de “Abono FUNDEB”, aos profissionais da educação com recursos do Fundo de Manutenção da Educação Básica e </w:t>
      </w:r>
      <w:proofErr w:type="gramStart"/>
      <w:r w:rsidR="00A0510A" w:rsidRPr="00A0510A">
        <w:rPr>
          <w:rFonts w:ascii="Verdana" w:hAnsi="Verdana"/>
        </w:rPr>
        <w:t>de</w:t>
      </w:r>
      <w:proofErr w:type="gramEnd"/>
      <w:r w:rsidR="00A0510A" w:rsidRPr="00A0510A">
        <w:rPr>
          <w:rFonts w:ascii="Verdana" w:hAnsi="Verdana"/>
        </w:rPr>
        <w:t xml:space="preserve"> </w:t>
      </w:r>
    </w:p>
    <w:p w:rsidR="00BC2763" w:rsidRDefault="00BC2763" w:rsidP="00BC2763">
      <w:pPr>
        <w:widowControl w:val="0"/>
        <w:spacing w:line="276" w:lineRule="auto"/>
        <w:ind w:right="-427" w:firstLine="708"/>
        <w:jc w:val="both"/>
        <w:rPr>
          <w:rFonts w:ascii="Verdana" w:hAnsi="Verdana"/>
        </w:rPr>
      </w:pPr>
    </w:p>
    <w:p w:rsidR="00AB1412" w:rsidRDefault="00A0510A" w:rsidP="00BC2763">
      <w:pPr>
        <w:widowControl w:val="0"/>
        <w:spacing w:line="276" w:lineRule="auto"/>
        <w:ind w:right="-427"/>
        <w:jc w:val="both"/>
        <w:rPr>
          <w:rFonts w:ascii="Verdana" w:hAnsi="Verdana"/>
        </w:rPr>
      </w:pPr>
      <w:r w:rsidRPr="00A0510A">
        <w:rPr>
          <w:rFonts w:ascii="Verdana" w:hAnsi="Verdana"/>
        </w:rPr>
        <w:t xml:space="preserve">Valorização dos Profissionais da Educação - Fundeb, como medida excepcional e transitória ao exercício fluente, destinada a promover o </w:t>
      </w:r>
      <w:r>
        <w:rPr>
          <w:rFonts w:ascii="Verdana" w:hAnsi="Verdana"/>
        </w:rPr>
        <w:t xml:space="preserve">exato </w:t>
      </w:r>
      <w:r w:rsidRPr="00A0510A">
        <w:rPr>
          <w:rFonts w:ascii="Verdana" w:hAnsi="Verdana"/>
        </w:rPr>
        <w:t>cumprimento do disposto no artigo 212-A, inciso XI, da Constituição Federal.</w:t>
      </w:r>
    </w:p>
    <w:p w:rsidR="005066F0" w:rsidRDefault="005066F0" w:rsidP="00AB1412">
      <w:pPr>
        <w:widowControl w:val="0"/>
        <w:spacing w:line="276" w:lineRule="auto"/>
        <w:ind w:right="-427" w:firstLine="1701"/>
        <w:jc w:val="both"/>
        <w:rPr>
          <w:rFonts w:ascii="Verdana" w:hAnsi="Verdana"/>
        </w:rPr>
      </w:pPr>
    </w:p>
    <w:p w:rsidR="005066F0" w:rsidRDefault="007F5E98" w:rsidP="00BC2763">
      <w:pPr>
        <w:widowControl w:val="0"/>
        <w:spacing w:line="276" w:lineRule="auto"/>
        <w:ind w:right="-427" w:firstLine="708"/>
        <w:jc w:val="both"/>
        <w:rPr>
          <w:rFonts w:ascii="Verdana" w:hAnsi="Verdana"/>
        </w:rPr>
      </w:pPr>
      <w:r w:rsidRPr="005066F0">
        <w:rPr>
          <w:rFonts w:ascii="Verdana" w:hAnsi="Verdana"/>
        </w:rPr>
        <w:t>Como é do conhecimento de todos, recentemente houve modificação da estrutura do financiamento da educação no País, através da Emenda Constitucional n° 108, de 26 de agosto de 2020, que instituiu o novo Fundo de Manutenção da Educação Básica e de Valorização dos Profissionais da Educação (Fundeb), regulamentado pela Lei n° 14.113, de 25 de dezembro de 2020, com vigência a partir de 26 de dezembro de 2020.</w:t>
      </w:r>
    </w:p>
    <w:p w:rsidR="005066F0" w:rsidRDefault="005066F0" w:rsidP="00AB1412">
      <w:pPr>
        <w:widowControl w:val="0"/>
        <w:spacing w:line="276" w:lineRule="auto"/>
        <w:ind w:right="-427" w:firstLine="1701"/>
        <w:jc w:val="both"/>
        <w:rPr>
          <w:rFonts w:ascii="Verdana" w:hAnsi="Verdana"/>
        </w:rPr>
      </w:pPr>
    </w:p>
    <w:p w:rsidR="005066F0" w:rsidRDefault="007F5E98" w:rsidP="00BC2763">
      <w:pPr>
        <w:widowControl w:val="0"/>
        <w:spacing w:line="276" w:lineRule="auto"/>
        <w:ind w:right="-427" w:firstLine="708"/>
        <w:jc w:val="both"/>
        <w:rPr>
          <w:rFonts w:ascii="Verdana" w:hAnsi="Verdana"/>
        </w:rPr>
      </w:pPr>
      <w:r>
        <w:rPr>
          <w:rFonts w:ascii="Verdana" w:hAnsi="Verdana"/>
        </w:rPr>
        <w:t>Importante destacar que a administração pública se pauta pelo princípio da legalidade, devendo haver previsão legal expressa para que em caso de sobra de recursos do Fundeb haja o rateio em forma de abono para se cumprir a norma constitucional.</w:t>
      </w:r>
    </w:p>
    <w:p w:rsidR="005066F0" w:rsidRDefault="005066F0" w:rsidP="00AB1412">
      <w:pPr>
        <w:widowControl w:val="0"/>
        <w:spacing w:line="276" w:lineRule="auto"/>
        <w:ind w:right="-427" w:firstLine="1701"/>
        <w:jc w:val="both"/>
        <w:rPr>
          <w:rFonts w:ascii="Verdana" w:hAnsi="Verdana"/>
        </w:rPr>
      </w:pPr>
    </w:p>
    <w:p w:rsidR="005066F0" w:rsidRDefault="007F5E98" w:rsidP="00BC2763">
      <w:pPr>
        <w:widowControl w:val="0"/>
        <w:spacing w:line="276" w:lineRule="auto"/>
        <w:ind w:right="-427" w:firstLine="709"/>
        <w:jc w:val="both"/>
        <w:rPr>
          <w:rFonts w:ascii="Verdana" w:hAnsi="Verdana"/>
        </w:rPr>
      </w:pPr>
      <w:r>
        <w:rPr>
          <w:rFonts w:ascii="Verdana" w:hAnsi="Verdana"/>
        </w:rPr>
        <w:t xml:space="preserve"> Neste sentido:</w:t>
      </w:r>
    </w:p>
    <w:p w:rsidR="005066F0" w:rsidRDefault="005066F0" w:rsidP="00BC2763">
      <w:pPr>
        <w:widowControl w:val="0"/>
        <w:spacing w:line="276" w:lineRule="auto"/>
        <w:ind w:right="-427" w:firstLine="709"/>
        <w:jc w:val="both"/>
        <w:rPr>
          <w:rFonts w:ascii="Verdana" w:hAnsi="Verdana"/>
        </w:rPr>
      </w:pPr>
    </w:p>
    <w:p w:rsidR="005066F0" w:rsidRDefault="007F5E98" w:rsidP="00BC2763">
      <w:pPr>
        <w:widowControl w:val="0"/>
        <w:spacing w:line="276" w:lineRule="auto"/>
        <w:ind w:left="709" w:right="-427"/>
        <w:jc w:val="both"/>
        <w:rPr>
          <w:rFonts w:ascii="Verdana" w:hAnsi="Verdana"/>
          <w:sz w:val="20"/>
        </w:rPr>
      </w:pPr>
      <w:r w:rsidRPr="005066F0">
        <w:rPr>
          <w:rFonts w:ascii="Verdana" w:hAnsi="Verdana"/>
          <w:b/>
          <w:sz w:val="20"/>
        </w:rPr>
        <w:t>RECURSO ESPECIAL Nº 1.554.16</w:t>
      </w:r>
      <w:r>
        <w:rPr>
          <w:rFonts w:ascii="Verdana" w:hAnsi="Verdana"/>
          <w:b/>
          <w:sz w:val="20"/>
        </w:rPr>
        <w:t>8 - PB (2015/0222465-9) RELATOR</w:t>
      </w:r>
      <w:r w:rsidRPr="005066F0">
        <w:rPr>
          <w:rFonts w:ascii="Verdana" w:hAnsi="Verdana"/>
          <w:b/>
          <w:sz w:val="20"/>
        </w:rPr>
        <w:t>: MINISTR</w:t>
      </w:r>
      <w:r>
        <w:rPr>
          <w:rFonts w:ascii="Verdana" w:hAnsi="Verdana"/>
          <w:b/>
          <w:sz w:val="20"/>
        </w:rPr>
        <w:t>O BENEDITO GONÇALVES RECORRENTE</w:t>
      </w:r>
      <w:r w:rsidRPr="005066F0">
        <w:rPr>
          <w:rFonts w:ascii="Verdana" w:hAnsi="Verdana"/>
          <w:b/>
          <w:sz w:val="20"/>
        </w:rPr>
        <w:t xml:space="preserve">: WILMA </w:t>
      </w:r>
      <w:r>
        <w:rPr>
          <w:rFonts w:ascii="Verdana" w:hAnsi="Verdana"/>
          <w:b/>
          <w:sz w:val="20"/>
        </w:rPr>
        <w:t>PEREIRA CANDEIA RUFINO ADVOGADO</w:t>
      </w:r>
      <w:r w:rsidRPr="005066F0">
        <w:rPr>
          <w:rFonts w:ascii="Verdana" w:hAnsi="Verdana"/>
          <w:b/>
          <w:sz w:val="20"/>
        </w:rPr>
        <w:t>: DAMIÃO GUIMA</w:t>
      </w:r>
      <w:r w:rsidR="003E74C7">
        <w:rPr>
          <w:rFonts w:ascii="Verdana" w:hAnsi="Verdana"/>
          <w:b/>
          <w:sz w:val="20"/>
        </w:rPr>
        <w:t>RÃES LEITE - PB013293 RECORRIDO</w:t>
      </w:r>
      <w:r w:rsidRPr="005066F0">
        <w:rPr>
          <w:rFonts w:ascii="Verdana" w:hAnsi="Verdana"/>
          <w:b/>
          <w:sz w:val="20"/>
        </w:rPr>
        <w:t>: MUNICIPIO DE QUIXABA PROCURADOR : SHARMILLA SIQUEIRA E OUTRO (S) - PB016564 ADMINISTRATIVO. RECURSO ESPECIAL. PROFESSOR MUNICIPAL. RATEIO DE VERBA DO FUNDEB ENTRE PROFISSIONAIS DA EDUCAÇÃO. AUSÊNCIA DE PREVISÃO LEGAL. INEXISTÊNCIA DE LEI AUTORIZATIVA MUNICIPAL. RECURSO ESPECIAL A QUE SE NEGA SEGUIMENTO. DECISÃO (</w:t>
      </w:r>
      <w:proofErr w:type="gramStart"/>
      <w:r w:rsidRPr="005066F0">
        <w:rPr>
          <w:rFonts w:ascii="Verdana" w:hAnsi="Verdana"/>
          <w:b/>
          <w:sz w:val="20"/>
        </w:rPr>
        <w:t>...) Esta</w:t>
      </w:r>
      <w:proofErr w:type="gramEnd"/>
      <w:r w:rsidRPr="005066F0">
        <w:rPr>
          <w:rFonts w:ascii="Verdana" w:hAnsi="Verdana"/>
          <w:b/>
          <w:sz w:val="20"/>
        </w:rPr>
        <w:t xml:space="preserve"> Corte Superior já firmou compreensão de que: "</w:t>
      </w:r>
      <w:r w:rsidRPr="005066F0">
        <w:rPr>
          <w:rFonts w:ascii="Verdana" w:hAnsi="Verdana"/>
          <w:b/>
          <w:sz w:val="20"/>
          <w:u w:val="single"/>
        </w:rPr>
        <w:t>é realmente necessária a edição de lei estabelecendo critérios para distribuição dos recursos anuais totais do FUNDEB, destinados ao pagamento da remuneração dos profissionais do magistério em efetivo exercício na rede pública. A ausência de lei específica definindo critérios para o rateio dos recursos do FUNDEB desobriga o Município do pagamento</w:t>
      </w:r>
      <w:r w:rsidRPr="005066F0">
        <w:rPr>
          <w:rFonts w:ascii="Verdana" w:hAnsi="Verdana"/>
          <w:b/>
          <w:sz w:val="20"/>
        </w:rPr>
        <w:t>. O Poder Judiciário não pode através de uma ação ordinária de obrigação de fazer suprir lacunas normativas e atuar como anômalo legislador, só podendo corrigir a omissão se ajuizado o procedimento correto, qual seja, se interposto mandado de injunção" (REsp n. 1.408.795/PB, Rel. Ministro Og Fernandes, DJe de 25/02/2014). No mesmo sentido, com idêntico patrono: RESP n. 1.536.915/PB, Rel. Ministra Assusete Magalhães, DJE: 18/08/2015; RESP n. 1.551.425/</w:t>
      </w:r>
      <w:r w:rsidR="008C5CE6">
        <w:rPr>
          <w:rFonts w:ascii="Verdana" w:hAnsi="Verdana"/>
          <w:b/>
          <w:sz w:val="20"/>
        </w:rPr>
        <w:t xml:space="preserve">PB, Rel. Min. Sérgio </w:t>
      </w:r>
      <w:proofErr w:type="spellStart"/>
      <w:r w:rsidR="008C5CE6">
        <w:rPr>
          <w:rFonts w:ascii="Verdana" w:hAnsi="Verdana"/>
          <w:b/>
          <w:sz w:val="20"/>
        </w:rPr>
        <w:t>Kukina</w:t>
      </w:r>
      <w:proofErr w:type="spellEnd"/>
      <w:r w:rsidR="008C5CE6">
        <w:rPr>
          <w:rFonts w:ascii="Verdana" w:hAnsi="Verdana"/>
          <w:b/>
          <w:sz w:val="20"/>
        </w:rPr>
        <w:t>, DJE</w:t>
      </w:r>
      <w:r w:rsidRPr="005066F0">
        <w:rPr>
          <w:rFonts w:ascii="Verdana" w:hAnsi="Verdana"/>
          <w:b/>
          <w:sz w:val="20"/>
        </w:rPr>
        <w:t xml:space="preserve">: 10/09/2015. Ante o exposto, nego seguimento ao recurso especial. Publique-se. Intimem-se. Brasília, 26 de abril de 2017. MINISTRO BENEDITO GONÇALVES Relator. </w:t>
      </w:r>
      <w:r w:rsidRPr="005066F0">
        <w:rPr>
          <w:rFonts w:ascii="Verdana" w:hAnsi="Verdana"/>
          <w:sz w:val="20"/>
        </w:rPr>
        <w:t>(STJ - REsp: 1554168 PB 2015/0222465-9, Relator: Ministro BENEDITO GONÇALVES, Data de Publicação: DJ 02/05/2017).</w:t>
      </w:r>
      <w:r w:rsidR="00AB1414">
        <w:rPr>
          <w:rFonts w:ascii="Verdana" w:hAnsi="Verdana"/>
          <w:sz w:val="20"/>
        </w:rPr>
        <w:t xml:space="preserve"> Grifamos.</w:t>
      </w:r>
    </w:p>
    <w:p w:rsidR="005066F0" w:rsidRDefault="005066F0" w:rsidP="00BC2763">
      <w:pPr>
        <w:widowControl w:val="0"/>
        <w:spacing w:line="276" w:lineRule="auto"/>
        <w:ind w:left="1843" w:right="-427" w:firstLine="709"/>
        <w:jc w:val="both"/>
        <w:rPr>
          <w:rFonts w:ascii="Verdana" w:hAnsi="Verdana"/>
          <w:sz w:val="20"/>
        </w:rPr>
      </w:pPr>
    </w:p>
    <w:p w:rsidR="008C5CE6" w:rsidRDefault="008C5CE6" w:rsidP="00BC2763">
      <w:pPr>
        <w:widowControl w:val="0"/>
        <w:spacing w:line="276" w:lineRule="auto"/>
        <w:ind w:left="1843" w:right="-427" w:firstLine="709"/>
        <w:jc w:val="both"/>
        <w:rPr>
          <w:rFonts w:ascii="Verdana" w:hAnsi="Verdana"/>
          <w:sz w:val="20"/>
        </w:rPr>
      </w:pPr>
    </w:p>
    <w:p w:rsidR="008C5CE6" w:rsidRDefault="008C5CE6" w:rsidP="00BC2763">
      <w:pPr>
        <w:widowControl w:val="0"/>
        <w:spacing w:line="276" w:lineRule="auto"/>
        <w:ind w:left="1843" w:right="-427" w:firstLine="709"/>
        <w:jc w:val="both"/>
        <w:rPr>
          <w:rFonts w:ascii="Verdana" w:hAnsi="Verdana"/>
          <w:sz w:val="20"/>
        </w:rPr>
      </w:pPr>
    </w:p>
    <w:p w:rsidR="008C5CE6" w:rsidRDefault="008C5CE6" w:rsidP="00BC2763">
      <w:pPr>
        <w:widowControl w:val="0"/>
        <w:spacing w:line="276" w:lineRule="auto"/>
        <w:ind w:left="1843" w:right="-427" w:firstLine="709"/>
        <w:jc w:val="both"/>
        <w:rPr>
          <w:rFonts w:ascii="Verdana" w:hAnsi="Verdana"/>
          <w:sz w:val="20"/>
        </w:rPr>
      </w:pPr>
    </w:p>
    <w:p w:rsidR="005066F0" w:rsidRPr="005066F0" w:rsidRDefault="007F5E98" w:rsidP="00BC2763">
      <w:pPr>
        <w:widowControl w:val="0"/>
        <w:spacing w:line="276" w:lineRule="auto"/>
        <w:ind w:left="709" w:right="-427"/>
        <w:jc w:val="both"/>
        <w:rPr>
          <w:rFonts w:ascii="Verdana" w:hAnsi="Verdana"/>
          <w:sz w:val="20"/>
        </w:rPr>
      </w:pPr>
      <w:r w:rsidRPr="00AB1414">
        <w:rPr>
          <w:rFonts w:ascii="Verdana" w:hAnsi="Verdana"/>
          <w:b/>
          <w:sz w:val="20"/>
        </w:rPr>
        <w:t>APELAÇÃO CÍVEL - AÇÃO DE OBRIGAÇÃO DE FAZER C/C COBRANÇA - RATEIO DO FUNDEB - IMPROCEDÊNCIA - IRRESIGNAÇÃO -</w:t>
      </w:r>
      <w:r w:rsidR="00AB1414" w:rsidRPr="00AB1414">
        <w:rPr>
          <w:rFonts w:ascii="Verdana" w:hAnsi="Verdana"/>
          <w:b/>
          <w:sz w:val="20"/>
        </w:rPr>
        <w:t xml:space="preserve"> </w:t>
      </w:r>
      <w:r w:rsidRPr="00AB1414">
        <w:rPr>
          <w:rFonts w:ascii="Verdana" w:hAnsi="Verdana"/>
          <w:b/>
          <w:sz w:val="20"/>
        </w:rPr>
        <w:t>PREVISÃO DO REPASSE NA LEI FEDERAL Nº 11.494/07 - AUSÊNCIA DE LEGISLAÇÃO LOCAL SOBRE A MATÉRIA - PRINCÍPIO DA</w:t>
      </w:r>
      <w:r w:rsidR="00AB1414" w:rsidRPr="00AB1414">
        <w:rPr>
          <w:rFonts w:ascii="Verdana" w:hAnsi="Verdana"/>
          <w:b/>
          <w:sz w:val="20"/>
        </w:rPr>
        <w:t xml:space="preserve"> </w:t>
      </w:r>
      <w:r w:rsidRPr="00AB1414">
        <w:rPr>
          <w:rFonts w:ascii="Verdana" w:hAnsi="Verdana"/>
          <w:b/>
          <w:sz w:val="20"/>
        </w:rPr>
        <w:t>LEGALIDADE - SÚMULA Nº 45 DO TJPB - APLICAÇÃO DO ART. 932, IV, "a" DO NCPC - PROVIMENTO NEGADO. - "</w:t>
      </w:r>
      <w:r w:rsidRPr="00AB1414">
        <w:rPr>
          <w:rFonts w:ascii="Verdana" w:hAnsi="Verdana"/>
          <w:b/>
          <w:sz w:val="20"/>
          <w:u w:val="single"/>
        </w:rPr>
        <w:t>O repasse dos valores do</w:t>
      </w:r>
      <w:r w:rsidR="00AB1414" w:rsidRPr="00AB1414">
        <w:rPr>
          <w:rFonts w:ascii="Verdana" w:hAnsi="Verdana"/>
          <w:b/>
          <w:sz w:val="20"/>
          <w:u w:val="single"/>
        </w:rPr>
        <w:t xml:space="preserve"> </w:t>
      </w:r>
      <w:r w:rsidRPr="00AB1414">
        <w:rPr>
          <w:rFonts w:ascii="Verdana" w:hAnsi="Verdana"/>
          <w:b/>
          <w:sz w:val="20"/>
          <w:u w:val="single"/>
        </w:rPr>
        <w:t>fundeb está condicionado à existência de Lei municipal, que estabeleça critérios claros para que o gestor municipal possa utilizar o recurso, com o</w:t>
      </w:r>
      <w:r w:rsidR="00AB1414" w:rsidRPr="00AB1414">
        <w:rPr>
          <w:rFonts w:ascii="Verdana" w:hAnsi="Verdana"/>
          <w:b/>
          <w:sz w:val="20"/>
          <w:u w:val="single"/>
        </w:rPr>
        <w:t xml:space="preserve"> </w:t>
      </w:r>
      <w:r w:rsidRPr="00AB1414">
        <w:rPr>
          <w:rFonts w:ascii="Verdana" w:hAnsi="Verdana"/>
          <w:b/>
          <w:sz w:val="20"/>
          <w:u w:val="single"/>
        </w:rPr>
        <w:t>estabelecimento dos valores, a forma de pagamento e os critérios objetivos para concessão aos beneficiados.</w:t>
      </w:r>
      <w:r w:rsidRPr="00AB1414">
        <w:rPr>
          <w:rFonts w:ascii="Verdana" w:hAnsi="Verdana"/>
          <w:b/>
          <w:sz w:val="20"/>
        </w:rPr>
        <w:t>" (TJPB; AC 051.2011.001115-5/001; Primeira</w:t>
      </w:r>
      <w:r w:rsidR="00AB1414" w:rsidRPr="00AB1414">
        <w:rPr>
          <w:rFonts w:ascii="Verdana" w:hAnsi="Verdana"/>
          <w:b/>
          <w:sz w:val="20"/>
        </w:rPr>
        <w:t xml:space="preserve"> </w:t>
      </w:r>
      <w:r w:rsidRPr="00AB1414">
        <w:rPr>
          <w:rFonts w:ascii="Verdana" w:hAnsi="Verdana"/>
          <w:b/>
          <w:sz w:val="20"/>
        </w:rPr>
        <w:t>Câmara Especializada Cível; Relª Juíza Conv. Vanda Elizabeth Marinho Barbosa; DJPB 05/07/2013; Pág. 8) - "Súmula nº 45 do TJPB: "O rateio das sobras</w:t>
      </w:r>
      <w:r w:rsidR="00AB1414" w:rsidRPr="00AB1414">
        <w:rPr>
          <w:rFonts w:ascii="Verdana" w:hAnsi="Verdana"/>
          <w:b/>
          <w:sz w:val="20"/>
        </w:rPr>
        <w:t xml:space="preserve"> </w:t>
      </w:r>
      <w:r w:rsidRPr="00AB1414">
        <w:rPr>
          <w:rFonts w:ascii="Verdana" w:hAnsi="Verdana"/>
          <w:b/>
          <w:sz w:val="20"/>
        </w:rPr>
        <w:t>dos recursos do FUNDEB fica condicionado à existência de Lei Municipal regulamentando a matéria". Vistos, etc.</w:t>
      </w:r>
      <w:r w:rsidRPr="005066F0">
        <w:rPr>
          <w:rFonts w:ascii="Verdana" w:hAnsi="Verdana"/>
          <w:sz w:val="20"/>
        </w:rPr>
        <w:t xml:space="preserve"> (TJPB - ACÓRDÃO/DECISÃO do</w:t>
      </w:r>
      <w:r w:rsidR="00AB1414">
        <w:rPr>
          <w:rFonts w:ascii="Verdana" w:hAnsi="Verdana"/>
          <w:sz w:val="20"/>
        </w:rPr>
        <w:t xml:space="preserve"> </w:t>
      </w:r>
      <w:r w:rsidRPr="005066F0">
        <w:rPr>
          <w:rFonts w:ascii="Verdana" w:hAnsi="Verdana"/>
          <w:sz w:val="20"/>
        </w:rPr>
        <w:t xml:space="preserve">Processo Nº 00004573820128150351, - Não possui -, Relator DES. SAULO HENRIQUES DE SÁ </w:t>
      </w:r>
      <w:r w:rsidR="00AB1414" w:rsidRPr="005066F0">
        <w:rPr>
          <w:rFonts w:ascii="Verdana" w:hAnsi="Verdana"/>
          <w:sz w:val="20"/>
        </w:rPr>
        <w:t>BENEVIDES,</w:t>
      </w:r>
      <w:r w:rsidRPr="005066F0">
        <w:rPr>
          <w:rFonts w:ascii="Verdana" w:hAnsi="Verdana"/>
          <w:sz w:val="20"/>
        </w:rPr>
        <w:t xml:space="preserve"> j. em 21-03-2017)</w:t>
      </w:r>
      <w:r w:rsidR="00AB1414">
        <w:rPr>
          <w:rFonts w:ascii="Verdana" w:hAnsi="Verdana"/>
          <w:sz w:val="20"/>
        </w:rPr>
        <w:t>. Grifamos.</w:t>
      </w:r>
    </w:p>
    <w:p w:rsidR="00AB1412" w:rsidRDefault="00AB1412" w:rsidP="00BC2763">
      <w:pPr>
        <w:widowControl w:val="0"/>
        <w:spacing w:line="276" w:lineRule="auto"/>
        <w:ind w:left="709" w:right="-427"/>
        <w:jc w:val="both"/>
        <w:rPr>
          <w:rFonts w:ascii="Verdana" w:hAnsi="Verdana"/>
        </w:rPr>
      </w:pPr>
    </w:p>
    <w:p w:rsidR="005066F0" w:rsidRDefault="007F5E98" w:rsidP="00BC2763">
      <w:pPr>
        <w:widowControl w:val="0"/>
        <w:spacing w:line="276" w:lineRule="auto"/>
        <w:ind w:right="-427" w:firstLine="708"/>
        <w:jc w:val="both"/>
        <w:rPr>
          <w:rFonts w:ascii="Verdana" w:hAnsi="Verdana"/>
        </w:rPr>
      </w:pPr>
      <w:r>
        <w:rPr>
          <w:rFonts w:ascii="Verdana" w:hAnsi="Verdana"/>
        </w:rPr>
        <w:t>Portanto, é imperioso que haja norma legal autorizando o poder executivo assim proceder, não havendo outro meio de se preencher essa lacuna se não pela edição de lei que normatize o tema.</w:t>
      </w:r>
    </w:p>
    <w:p w:rsidR="005066F0" w:rsidRDefault="005066F0" w:rsidP="00AB1412">
      <w:pPr>
        <w:widowControl w:val="0"/>
        <w:spacing w:line="276" w:lineRule="auto"/>
        <w:ind w:right="-427" w:firstLine="1701"/>
        <w:jc w:val="both"/>
        <w:rPr>
          <w:rFonts w:ascii="Verdana" w:hAnsi="Verdana"/>
        </w:rPr>
      </w:pPr>
    </w:p>
    <w:p w:rsidR="005066F0" w:rsidRPr="00945FA5" w:rsidRDefault="007F5E98" w:rsidP="00BC2763">
      <w:pPr>
        <w:widowControl w:val="0"/>
        <w:spacing w:line="276" w:lineRule="auto"/>
        <w:ind w:right="-427" w:firstLine="708"/>
        <w:jc w:val="both"/>
        <w:rPr>
          <w:rFonts w:ascii="Verdana" w:hAnsi="Verdana"/>
        </w:rPr>
      </w:pPr>
      <w:r>
        <w:rPr>
          <w:rFonts w:ascii="Verdana" w:hAnsi="Verdana"/>
        </w:rPr>
        <w:t>P</w:t>
      </w:r>
      <w:r w:rsidR="00AB1414">
        <w:rPr>
          <w:rFonts w:ascii="Verdana" w:hAnsi="Verdana"/>
        </w:rPr>
        <w:t>or</w:t>
      </w:r>
      <w:r>
        <w:rPr>
          <w:rFonts w:ascii="Verdana" w:hAnsi="Verdana"/>
        </w:rPr>
        <w:t xml:space="preserve"> </w:t>
      </w:r>
      <w:r w:rsidR="00AB1414">
        <w:rPr>
          <w:rFonts w:ascii="Verdana" w:hAnsi="Verdana"/>
        </w:rPr>
        <w:t>derradeiro, não se vê óbice na LC nº. 173/2020 tendo em vista que não se trata de criação, reajuste ou majoração de salários, mas de lei autorizativa visando tão somente dar eficácia ao comando constitucional do art. 212-A, inciso XV.</w:t>
      </w:r>
    </w:p>
    <w:p w:rsidR="00A0510A" w:rsidRDefault="00A0510A" w:rsidP="00AB1412">
      <w:pPr>
        <w:widowControl w:val="0"/>
        <w:spacing w:line="276" w:lineRule="auto"/>
        <w:ind w:right="-427" w:firstLine="1701"/>
        <w:jc w:val="both"/>
        <w:rPr>
          <w:rFonts w:ascii="Verdana" w:hAnsi="Verdana"/>
          <w:b/>
        </w:rPr>
      </w:pPr>
    </w:p>
    <w:p w:rsidR="00804490" w:rsidRDefault="007F5E98" w:rsidP="00BC2763">
      <w:pPr>
        <w:widowControl w:val="0"/>
        <w:spacing w:line="276" w:lineRule="auto"/>
        <w:ind w:right="-427" w:firstLine="708"/>
        <w:jc w:val="both"/>
        <w:rPr>
          <w:rFonts w:ascii="Verdana" w:hAnsi="Verdana"/>
        </w:rPr>
      </w:pPr>
      <w:r w:rsidRPr="00945FA5">
        <w:rPr>
          <w:rFonts w:ascii="Verdana" w:hAnsi="Verdana"/>
          <w:b/>
        </w:rPr>
        <w:t>Ante o exposto,</w:t>
      </w:r>
      <w:r w:rsidRPr="00945FA5">
        <w:rPr>
          <w:rFonts w:ascii="Verdana" w:hAnsi="Verdana"/>
        </w:rPr>
        <w:t xml:space="preserve"> solicitamos aos Nobres pares o apoio e a aprovação deste projeto de Lei que </w:t>
      </w:r>
      <w:r w:rsidR="00AB1414" w:rsidRPr="00AB1414">
        <w:rPr>
          <w:rFonts w:ascii="Verdana" w:hAnsi="Verdana"/>
        </w:rPr>
        <w:t>com a convicção de que a</w:t>
      </w:r>
      <w:r w:rsidR="00AB1414">
        <w:rPr>
          <w:rFonts w:ascii="Verdana" w:hAnsi="Verdana"/>
        </w:rPr>
        <w:t xml:space="preserve"> proposição visa apenas dar</w:t>
      </w:r>
      <w:r w:rsidR="00AB1414" w:rsidRPr="00AB1414">
        <w:rPr>
          <w:rFonts w:ascii="Verdana" w:hAnsi="Verdana"/>
        </w:rPr>
        <w:t xml:space="preserve"> cumprimento do disposto</w:t>
      </w:r>
      <w:r w:rsidR="00AB1414">
        <w:rPr>
          <w:rFonts w:ascii="Verdana" w:hAnsi="Verdana"/>
        </w:rPr>
        <w:t xml:space="preserve"> no inciso XI, do artigo 212-A</w:t>
      </w:r>
      <w:r w:rsidR="00AB1414" w:rsidRPr="00AB1414">
        <w:rPr>
          <w:rFonts w:ascii="Verdana" w:hAnsi="Verdana"/>
        </w:rPr>
        <w:t xml:space="preserve">, repassamos aos Nobres </w:t>
      </w:r>
      <w:proofErr w:type="gramStart"/>
      <w:r w:rsidR="00AB1414" w:rsidRPr="00AB1414">
        <w:rPr>
          <w:rFonts w:ascii="Verdana" w:hAnsi="Verdana"/>
        </w:rPr>
        <w:t>Edis</w:t>
      </w:r>
      <w:proofErr w:type="gramEnd"/>
      <w:r w:rsidR="00AB1414" w:rsidRPr="00AB1414">
        <w:rPr>
          <w:rFonts w:ascii="Verdana" w:hAnsi="Verdana"/>
        </w:rPr>
        <w:t xml:space="preserve"> a apreciação dessa matéria e vimos </w:t>
      </w:r>
      <w:r w:rsidR="00AB1414">
        <w:rPr>
          <w:rFonts w:ascii="Verdana" w:hAnsi="Verdana"/>
        </w:rPr>
        <w:t xml:space="preserve">ainda </w:t>
      </w:r>
      <w:r w:rsidR="00AB1414" w:rsidRPr="00AB1414">
        <w:rPr>
          <w:rFonts w:ascii="Verdana" w:hAnsi="Verdana"/>
        </w:rPr>
        <w:t xml:space="preserve">solicitar que a apreciação da </w:t>
      </w:r>
      <w:r w:rsidR="00AB1414">
        <w:rPr>
          <w:rFonts w:ascii="Verdana" w:hAnsi="Verdana"/>
        </w:rPr>
        <w:t xml:space="preserve">presente </w:t>
      </w:r>
      <w:r w:rsidR="00AB1414" w:rsidRPr="00AB1414">
        <w:rPr>
          <w:rFonts w:ascii="Verdana" w:hAnsi="Verdana"/>
        </w:rPr>
        <w:t>propositura se faça em caráter de urgência</w:t>
      </w:r>
      <w:r w:rsidR="00AB1414">
        <w:rPr>
          <w:rFonts w:ascii="Verdana" w:hAnsi="Verdana"/>
        </w:rPr>
        <w:t xml:space="preserve"> especial, nos termos do Artigo 109, inciso I </w:t>
      </w:r>
      <w:r w:rsidR="00AB1414" w:rsidRPr="00AB1414">
        <w:rPr>
          <w:rFonts w:ascii="Verdana" w:hAnsi="Verdana"/>
        </w:rPr>
        <w:t>do Regiment</w:t>
      </w:r>
      <w:r w:rsidR="00AB1414">
        <w:rPr>
          <w:rFonts w:ascii="Verdana" w:hAnsi="Verdana"/>
        </w:rPr>
        <w:t>o Interno dessa Casa de Leis, ante a relevância e necessidade, vez que o caso exige apreciação imediata, sob pena de perda da eficácia.</w:t>
      </w:r>
    </w:p>
    <w:p w:rsidR="00BC2763" w:rsidRDefault="00BC2763" w:rsidP="00AB1414">
      <w:pPr>
        <w:widowControl w:val="0"/>
        <w:spacing w:line="276" w:lineRule="auto"/>
        <w:ind w:right="-427" w:firstLine="1701"/>
        <w:jc w:val="both"/>
        <w:rPr>
          <w:rFonts w:ascii="Verdana" w:hAnsi="Verdana"/>
        </w:rPr>
      </w:pPr>
    </w:p>
    <w:p w:rsidR="00BC2763" w:rsidRDefault="00BC2763" w:rsidP="00AB1414">
      <w:pPr>
        <w:widowControl w:val="0"/>
        <w:spacing w:line="276" w:lineRule="auto"/>
        <w:ind w:right="-427" w:firstLine="1701"/>
        <w:jc w:val="both"/>
        <w:rPr>
          <w:rFonts w:ascii="Verdana" w:hAnsi="Verdana"/>
        </w:rPr>
      </w:pPr>
    </w:p>
    <w:p w:rsidR="00BC2763" w:rsidRPr="00A0273D" w:rsidRDefault="00BC2763" w:rsidP="00BC2763">
      <w:pPr>
        <w:spacing w:line="276" w:lineRule="auto"/>
        <w:ind w:right="-427" w:firstLine="1843"/>
        <w:jc w:val="both"/>
        <w:rPr>
          <w:rFonts w:ascii="Verdana" w:hAnsi="Verdana"/>
        </w:rPr>
      </w:pPr>
      <w:r>
        <w:rPr>
          <w:rFonts w:ascii="Verdana" w:hAnsi="Verdana" w:cs="Arial"/>
          <w:snapToGrid w:val="0"/>
        </w:rPr>
        <w:t>Sala das Sessões, 06</w:t>
      </w:r>
      <w:r w:rsidRPr="00A0273D">
        <w:rPr>
          <w:rFonts w:ascii="Verdana" w:hAnsi="Verdana" w:cs="Arial"/>
          <w:snapToGrid w:val="0"/>
        </w:rPr>
        <w:t xml:space="preserve"> de</w:t>
      </w:r>
      <w:r>
        <w:rPr>
          <w:rFonts w:ascii="Verdana" w:hAnsi="Verdana" w:cs="Arial"/>
          <w:snapToGrid w:val="0"/>
        </w:rPr>
        <w:t xml:space="preserve"> dezembro de 2021</w:t>
      </w:r>
      <w:r w:rsidRPr="00A0273D">
        <w:rPr>
          <w:rFonts w:ascii="Verdana" w:hAnsi="Verdana" w:cs="Arial"/>
          <w:snapToGrid w:val="0"/>
        </w:rPr>
        <w:t>.</w:t>
      </w:r>
    </w:p>
    <w:p w:rsidR="00BC2763" w:rsidRPr="00A0273D" w:rsidRDefault="00BC2763" w:rsidP="00BC2763">
      <w:pPr>
        <w:widowControl w:val="0"/>
        <w:spacing w:line="276" w:lineRule="auto"/>
        <w:ind w:right="-427" w:firstLine="708"/>
        <w:rPr>
          <w:rFonts w:ascii="Verdana" w:hAnsi="Verdana" w:cs="Arial"/>
          <w:snapToGrid w:val="0"/>
        </w:rPr>
      </w:pPr>
    </w:p>
    <w:p w:rsidR="00BC2763" w:rsidRDefault="00BC2763" w:rsidP="00BC2763">
      <w:pPr>
        <w:widowControl w:val="0"/>
        <w:spacing w:line="276" w:lineRule="auto"/>
        <w:ind w:right="-427" w:firstLine="708"/>
        <w:rPr>
          <w:rFonts w:ascii="Verdana" w:hAnsi="Verdana" w:cs="Arial"/>
          <w:snapToGrid w:val="0"/>
        </w:rPr>
      </w:pPr>
    </w:p>
    <w:p w:rsidR="00D17355" w:rsidRDefault="00D17355" w:rsidP="00BC2763">
      <w:pPr>
        <w:widowControl w:val="0"/>
        <w:spacing w:line="276" w:lineRule="auto"/>
        <w:ind w:right="-427" w:firstLine="708"/>
        <w:rPr>
          <w:rFonts w:ascii="Verdana" w:hAnsi="Verdana" w:cs="Arial"/>
          <w:snapToGrid w:val="0"/>
        </w:rPr>
      </w:pPr>
    </w:p>
    <w:p w:rsidR="008C5CE6" w:rsidRDefault="008C5CE6" w:rsidP="00D17355">
      <w:pPr>
        <w:widowControl w:val="0"/>
        <w:spacing w:line="276" w:lineRule="auto"/>
        <w:ind w:right="-427"/>
        <w:rPr>
          <w:rFonts w:ascii="Verdana" w:hAnsi="Verdana" w:cs="Arial"/>
          <w:snapToGrid w:val="0"/>
        </w:rPr>
      </w:pPr>
    </w:p>
    <w:p w:rsidR="008C5CE6" w:rsidRDefault="008C5CE6" w:rsidP="00D17355">
      <w:pPr>
        <w:widowControl w:val="0"/>
        <w:spacing w:line="276" w:lineRule="auto"/>
        <w:ind w:right="-427"/>
        <w:rPr>
          <w:rFonts w:ascii="Verdana" w:hAnsi="Verdana" w:cs="Arial"/>
          <w:snapToGrid w:val="0"/>
        </w:rPr>
      </w:pPr>
    </w:p>
    <w:p w:rsidR="00BC2763" w:rsidRPr="00D17355" w:rsidRDefault="00D17355" w:rsidP="00D17355">
      <w:pPr>
        <w:widowControl w:val="0"/>
        <w:spacing w:line="276" w:lineRule="auto"/>
        <w:ind w:right="-427"/>
        <w:rPr>
          <w:rFonts w:ascii="Verdana" w:hAnsi="Verdana" w:cs="Arial"/>
          <w:b/>
          <w:snapToGrid w:val="0"/>
        </w:rPr>
      </w:pPr>
      <w:r>
        <w:rPr>
          <w:rFonts w:ascii="Verdana" w:hAnsi="Verdana" w:cs="Arial"/>
          <w:snapToGrid w:val="0"/>
        </w:rPr>
        <w:t xml:space="preserve"> </w:t>
      </w:r>
      <w:r w:rsidRPr="00D17355">
        <w:rPr>
          <w:rFonts w:ascii="Verdana" w:hAnsi="Verdana" w:cs="Arial"/>
          <w:b/>
          <w:snapToGrid w:val="0"/>
        </w:rPr>
        <w:t xml:space="preserve">Autores: </w:t>
      </w:r>
    </w:p>
    <w:p w:rsidR="00D17355" w:rsidRDefault="00D17355" w:rsidP="00D17355">
      <w:pPr>
        <w:widowControl w:val="0"/>
        <w:spacing w:line="276" w:lineRule="auto"/>
        <w:ind w:right="-427"/>
        <w:rPr>
          <w:rFonts w:ascii="Verdana" w:hAnsi="Verdana" w:cs="Arial"/>
          <w:snapToGrid w:val="0"/>
        </w:rPr>
      </w:pPr>
    </w:p>
    <w:p w:rsidR="00D17355" w:rsidRDefault="00D17355" w:rsidP="00D17355">
      <w:pPr>
        <w:widowControl w:val="0"/>
        <w:spacing w:line="276" w:lineRule="auto"/>
        <w:ind w:right="-427"/>
        <w:rPr>
          <w:rFonts w:ascii="Verdana" w:hAnsi="Verdana" w:cs="Arial"/>
          <w:snapToGrid w:val="0"/>
        </w:rPr>
      </w:pPr>
    </w:p>
    <w:p w:rsidR="00D17355" w:rsidRDefault="00D17355" w:rsidP="00BC2763">
      <w:pPr>
        <w:widowControl w:val="0"/>
        <w:spacing w:line="276" w:lineRule="auto"/>
        <w:ind w:right="-427" w:firstLine="708"/>
        <w:rPr>
          <w:rFonts w:ascii="Verdana" w:hAnsi="Verdana" w:cs="Arial"/>
          <w:snapToGrid w:val="0"/>
        </w:rPr>
      </w:pPr>
    </w:p>
    <w:p w:rsidR="00BC2763" w:rsidRPr="00CA2DC3" w:rsidRDefault="00BC2763" w:rsidP="00BC2763">
      <w:pPr>
        <w:spacing w:line="276" w:lineRule="auto"/>
        <w:ind w:left="180" w:right="-427"/>
        <w:jc w:val="both"/>
        <w:rPr>
          <w:rFonts w:ascii="Verdana" w:hAnsi="Verdana" w:cs="Arial"/>
          <w:b/>
        </w:rPr>
      </w:pPr>
      <w:r>
        <w:rPr>
          <w:rFonts w:ascii="Verdana" w:hAnsi="Verdana" w:cs="Arial"/>
          <w:b/>
          <w:bCs/>
          <w:snapToGrid w:val="0"/>
          <w:szCs w:val="22"/>
        </w:rPr>
        <w:t xml:space="preserve">Ver. Abilio Vaneli </w:t>
      </w:r>
      <w:r w:rsidR="002B77F3">
        <w:rPr>
          <w:rFonts w:ascii="Verdana" w:hAnsi="Verdana" w:cs="Arial"/>
          <w:b/>
          <w:bCs/>
          <w:snapToGrid w:val="0"/>
          <w:szCs w:val="22"/>
        </w:rPr>
        <w:t xml:space="preserve">                   </w:t>
      </w:r>
      <w:r>
        <w:rPr>
          <w:rFonts w:ascii="Verdana" w:hAnsi="Verdana" w:cs="Arial"/>
          <w:b/>
          <w:bCs/>
          <w:snapToGrid w:val="0"/>
          <w:szCs w:val="22"/>
        </w:rPr>
        <w:t xml:space="preserve">Verª. </w:t>
      </w:r>
      <w:proofErr w:type="spellStart"/>
      <w:r>
        <w:rPr>
          <w:rFonts w:ascii="Verdana" w:hAnsi="Verdana" w:cs="Arial"/>
          <w:b/>
          <w:bCs/>
          <w:snapToGrid w:val="0"/>
          <w:szCs w:val="22"/>
        </w:rPr>
        <w:t>Profª</w:t>
      </w:r>
      <w:proofErr w:type="spellEnd"/>
      <w:r>
        <w:rPr>
          <w:rFonts w:ascii="Verdana" w:hAnsi="Verdana" w:cs="Arial"/>
          <w:b/>
          <w:bCs/>
          <w:snapToGrid w:val="0"/>
          <w:szCs w:val="22"/>
        </w:rPr>
        <w:t xml:space="preserve">. Marly Nogueira </w:t>
      </w:r>
      <w:r w:rsidRPr="00CA2DC3">
        <w:rPr>
          <w:rFonts w:ascii="Verdana" w:hAnsi="Verdana" w:cs="Arial"/>
          <w:b/>
          <w:bCs/>
          <w:snapToGrid w:val="0"/>
          <w:szCs w:val="22"/>
        </w:rPr>
        <w:t xml:space="preserve">                        </w:t>
      </w:r>
      <w:r w:rsidRPr="00CA2DC3">
        <w:rPr>
          <w:rFonts w:ascii="Verdana" w:hAnsi="Verdana" w:cs="Arial"/>
          <w:b/>
        </w:rPr>
        <w:t xml:space="preserve"> </w:t>
      </w:r>
    </w:p>
    <w:p w:rsidR="00BC2763" w:rsidRDefault="00BC2763" w:rsidP="00BC2763">
      <w:pPr>
        <w:spacing w:line="276" w:lineRule="auto"/>
        <w:ind w:left="180" w:right="-427"/>
        <w:jc w:val="center"/>
        <w:rPr>
          <w:rFonts w:ascii="Verdana" w:hAnsi="Verdana" w:cs="Arial"/>
          <w:b/>
        </w:rPr>
      </w:pPr>
    </w:p>
    <w:p w:rsidR="00BC2763" w:rsidRDefault="00BC2763" w:rsidP="00BC2763">
      <w:pPr>
        <w:spacing w:line="276" w:lineRule="auto"/>
        <w:ind w:left="180" w:right="-427"/>
        <w:jc w:val="center"/>
        <w:rPr>
          <w:rFonts w:ascii="Verdana" w:hAnsi="Verdana" w:cs="Arial"/>
          <w:b/>
        </w:rPr>
      </w:pPr>
    </w:p>
    <w:p w:rsidR="00BC2763" w:rsidRDefault="00BC2763" w:rsidP="00BC2763">
      <w:pPr>
        <w:spacing w:line="276" w:lineRule="auto"/>
        <w:ind w:left="180" w:right="-427"/>
        <w:rPr>
          <w:rFonts w:ascii="Verdana" w:hAnsi="Verdana" w:cs="Arial"/>
          <w:b/>
          <w:bCs/>
          <w:snapToGrid w:val="0"/>
          <w:szCs w:val="22"/>
        </w:rPr>
      </w:pPr>
    </w:p>
    <w:p w:rsidR="00BC2763" w:rsidRDefault="00BC2763" w:rsidP="00BC2763">
      <w:pPr>
        <w:spacing w:line="276" w:lineRule="auto"/>
        <w:ind w:left="180" w:right="-427"/>
        <w:rPr>
          <w:rFonts w:ascii="Verdana" w:hAnsi="Verdana" w:cs="Arial"/>
          <w:b/>
          <w:bCs/>
          <w:snapToGrid w:val="0"/>
          <w:szCs w:val="22"/>
        </w:rPr>
      </w:pPr>
      <w:r>
        <w:rPr>
          <w:rFonts w:ascii="Verdana" w:hAnsi="Verdana" w:cs="Arial"/>
          <w:b/>
          <w:bCs/>
          <w:snapToGrid w:val="0"/>
          <w:szCs w:val="22"/>
        </w:rPr>
        <w:t>Ver. Marcinho Souza</w:t>
      </w:r>
      <w:proofErr w:type="gramStart"/>
      <w:r w:rsidR="002B77F3">
        <w:rPr>
          <w:rFonts w:ascii="Verdana" w:hAnsi="Verdana" w:cs="Arial"/>
          <w:b/>
          <w:bCs/>
          <w:snapToGrid w:val="0"/>
          <w:szCs w:val="22"/>
        </w:rPr>
        <w:t xml:space="preserve">    </w:t>
      </w:r>
      <w:r>
        <w:rPr>
          <w:rFonts w:ascii="Verdana" w:hAnsi="Verdana" w:cs="Arial"/>
          <w:b/>
          <w:bCs/>
          <w:snapToGrid w:val="0"/>
          <w:szCs w:val="22"/>
        </w:rPr>
        <w:t>.</w:t>
      </w:r>
      <w:proofErr w:type="gramEnd"/>
      <w:r>
        <w:rPr>
          <w:rFonts w:ascii="Verdana" w:hAnsi="Verdana" w:cs="Arial"/>
          <w:b/>
          <w:bCs/>
          <w:snapToGrid w:val="0"/>
          <w:szCs w:val="22"/>
        </w:rPr>
        <w:t xml:space="preserve">            Ver. Carlos Henrique </w:t>
      </w:r>
    </w:p>
    <w:p w:rsidR="002B77F3" w:rsidRDefault="002B77F3" w:rsidP="00BC2763">
      <w:pPr>
        <w:spacing w:line="276" w:lineRule="auto"/>
        <w:ind w:left="180" w:right="-427"/>
        <w:rPr>
          <w:rFonts w:ascii="Verdana" w:hAnsi="Verdana" w:cs="Arial"/>
          <w:b/>
          <w:bCs/>
          <w:snapToGrid w:val="0"/>
          <w:szCs w:val="22"/>
        </w:rPr>
      </w:pPr>
    </w:p>
    <w:p w:rsidR="002B77F3" w:rsidRDefault="002B77F3" w:rsidP="00BC2763">
      <w:pPr>
        <w:spacing w:line="276" w:lineRule="auto"/>
        <w:ind w:left="180" w:right="-427"/>
        <w:rPr>
          <w:rFonts w:ascii="Verdana" w:hAnsi="Verdana" w:cs="Arial"/>
          <w:b/>
          <w:bCs/>
          <w:snapToGrid w:val="0"/>
          <w:szCs w:val="22"/>
        </w:rPr>
      </w:pPr>
    </w:p>
    <w:p w:rsidR="002B77F3" w:rsidRDefault="002B77F3" w:rsidP="00BC2763">
      <w:pPr>
        <w:spacing w:line="276" w:lineRule="auto"/>
        <w:ind w:left="180" w:right="-427"/>
        <w:rPr>
          <w:rFonts w:ascii="Verdana" w:hAnsi="Verdana" w:cs="Arial"/>
          <w:b/>
          <w:bCs/>
          <w:snapToGrid w:val="0"/>
          <w:szCs w:val="22"/>
        </w:rPr>
      </w:pPr>
    </w:p>
    <w:p w:rsidR="002B77F3" w:rsidRDefault="002B77F3" w:rsidP="002B77F3">
      <w:pPr>
        <w:spacing w:line="276" w:lineRule="auto"/>
        <w:ind w:left="180" w:right="-427"/>
        <w:rPr>
          <w:rFonts w:ascii="Verdana" w:hAnsi="Verdana"/>
          <w:b/>
        </w:rPr>
      </w:pPr>
      <w:r>
        <w:rPr>
          <w:rFonts w:ascii="Verdana" w:hAnsi="Verdana" w:cs="Arial"/>
          <w:b/>
          <w:bCs/>
          <w:snapToGrid w:val="0"/>
          <w:szCs w:val="22"/>
        </w:rPr>
        <w:t xml:space="preserve">Verª Adriana Nabhan                            </w:t>
      </w:r>
      <w:r w:rsidRPr="002B77F3">
        <w:rPr>
          <w:rFonts w:ascii="Verdana" w:hAnsi="Verdana"/>
          <w:b/>
        </w:rPr>
        <w:t xml:space="preserve">Ver.  Ângelo Gari </w:t>
      </w:r>
    </w:p>
    <w:p w:rsidR="002B77F3" w:rsidRPr="002B77F3" w:rsidRDefault="002B77F3" w:rsidP="002B77F3">
      <w:pPr>
        <w:spacing w:line="276" w:lineRule="auto"/>
        <w:ind w:left="180" w:right="-427"/>
        <w:rPr>
          <w:rFonts w:ascii="Verdana" w:hAnsi="Verdana"/>
          <w:b/>
        </w:rPr>
      </w:pPr>
    </w:p>
    <w:p w:rsidR="002B77F3" w:rsidRPr="002B77F3" w:rsidRDefault="002B77F3" w:rsidP="002B77F3">
      <w:pPr>
        <w:spacing w:line="360" w:lineRule="auto"/>
        <w:ind w:right="27"/>
        <w:jc w:val="center"/>
        <w:rPr>
          <w:rFonts w:ascii="Verdana" w:hAnsi="Verdana" w:cs="Arial"/>
          <w:b/>
        </w:rPr>
      </w:pPr>
      <w:r w:rsidRPr="002B77F3">
        <w:rPr>
          <w:rFonts w:ascii="Verdana" w:hAnsi="Verdana"/>
          <w:b/>
        </w:rPr>
        <w:t xml:space="preserve">                </w:t>
      </w:r>
    </w:p>
    <w:p w:rsidR="002B77F3" w:rsidRPr="002B77F3" w:rsidRDefault="002B77F3" w:rsidP="002B77F3">
      <w:pPr>
        <w:keepNext/>
        <w:ind w:left="2124" w:right="27"/>
        <w:jc w:val="center"/>
        <w:outlineLvl w:val="0"/>
        <w:rPr>
          <w:rFonts w:ascii="Verdana" w:hAnsi="Verdana" w:cs="Arial"/>
          <w:b/>
          <w:bCs/>
        </w:rPr>
      </w:pPr>
    </w:p>
    <w:p w:rsidR="002B77F3" w:rsidRDefault="002B77F3" w:rsidP="002B77F3">
      <w:pPr>
        <w:jc w:val="both"/>
        <w:rPr>
          <w:rFonts w:ascii="Verdana" w:hAnsi="Verdana"/>
          <w:b/>
        </w:rPr>
      </w:pPr>
      <w:r w:rsidRPr="002B77F3">
        <w:rPr>
          <w:rFonts w:ascii="Verdana" w:hAnsi="Verdana"/>
          <w:b/>
        </w:rPr>
        <w:t>Ver. Ademir Peteca</w:t>
      </w:r>
      <w:r w:rsidRPr="002B77F3">
        <w:rPr>
          <w:rFonts w:ascii="Verdana" w:hAnsi="Verdana"/>
          <w:b/>
        </w:rPr>
        <w:tab/>
      </w:r>
      <w:r w:rsidRPr="002B77F3">
        <w:rPr>
          <w:rFonts w:ascii="Verdana" w:hAnsi="Verdana"/>
          <w:b/>
        </w:rPr>
        <w:tab/>
      </w:r>
      <w:r>
        <w:rPr>
          <w:rFonts w:ascii="Verdana" w:hAnsi="Verdana"/>
          <w:b/>
        </w:rPr>
        <w:t xml:space="preserve">          </w:t>
      </w:r>
      <w:r w:rsidRPr="002B77F3">
        <w:rPr>
          <w:rFonts w:ascii="Verdana" w:hAnsi="Verdana"/>
          <w:b/>
        </w:rPr>
        <w:t xml:space="preserve">  </w:t>
      </w:r>
      <w:r>
        <w:rPr>
          <w:rFonts w:ascii="Verdana" w:hAnsi="Verdana"/>
          <w:b/>
        </w:rPr>
        <w:t xml:space="preserve">     </w:t>
      </w:r>
      <w:r w:rsidRPr="002B77F3">
        <w:rPr>
          <w:rFonts w:ascii="Verdana" w:hAnsi="Verdana"/>
          <w:b/>
        </w:rPr>
        <w:t xml:space="preserve"> Ver.  Flávio Duarte</w:t>
      </w:r>
    </w:p>
    <w:p w:rsidR="002B77F3" w:rsidRDefault="002B77F3" w:rsidP="002B77F3">
      <w:pPr>
        <w:jc w:val="both"/>
        <w:rPr>
          <w:rFonts w:ascii="Verdana" w:hAnsi="Verdana"/>
          <w:b/>
        </w:rPr>
      </w:pPr>
      <w:r w:rsidRPr="002B77F3">
        <w:rPr>
          <w:rFonts w:ascii="Verdana" w:hAnsi="Verdana"/>
          <w:b/>
        </w:rPr>
        <w:tab/>
        <w:t xml:space="preserve">  </w:t>
      </w:r>
    </w:p>
    <w:p w:rsidR="002B77F3" w:rsidRDefault="002B77F3" w:rsidP="002B77F3">
      <w:pPr>
        <w:jc w:val="both"/>
        <w:rPr>
          <w:rFonts w:ascii="Verdana" w:hAnsi="Verdana"/>
          <w:b/>
        </w:rPr>
      </w:pPr>
    </w:p>
    <w:p w:rsidR="002B77F3" w:rsidRDefault="002B77F3" w:rsidP="002B77F3">
      <w:pPr>
        <w:jc w:val="both"/>
        <w:rPr>
          <w:rFonts w:ascii="Verdana" w:hAnsi="Verdana"/>
          <w:b/>
        </w:rPr>
      </w:pPr>
    </w:p>
    <w:p w:rsidR="002B77F3" w:rsidRDefault="002B77F3" w:rsidP="002B77F3">
      <w:pPr>
        <w:jc w:val="both"/>
        <w:rPr>
          <w:rFonts w:ascii="Verdana" w:hAnsi="Verdana"/>
          <w:b/>
        </w:rPr>
      </w:pPr>
      <w:r w:rsidRPr="002B77F3">
        <w:rPr>
          <w:rFonts w:ascii="Verdana" w:hAnsi="Verdana"/>
          <w:b/>
        </w:rPr>
        <w:t>Ver. Jefferson Aislan</w:t>
      </w:r>
      <w:r w:rsidRPr="002B77F3">
        <w:rPr>
          <w:rFonts w:ascii="Verdana" w:hAnsi="Verdana"/>
          <w:b/>
        </w:rPr>
        <w:tab/>
      </w:r>
      <w:r>
        <w:rPr>
          <w:rFonts w:ascii="Verdana" w:hAnsi="Verdana"/>
          <w:b/>
        </w:rPr>
        <w:t xml:space="preserve">                         </w:t>
      </w:r>
      <w:r w:rsidRPr="002B77F3">
        <w:rPr>
          <w:rFonts w:ascii="Verdana" w:hAnsi="Verdana"/>
          <w:b/>
        </w:rPr>
        <w:t>Ver.  João do Posto</w:t>
      </w:r>
      <w:proofErr w:type="gramStart"/>
      <w:r w:rsidRPr="002B77F3">
        <w:rPr>
          <w:rFonts w:ascii="Verdana" w:hAnsi="Verdana"/>
          <w:b/>
        </w:rPr>
        <w:t xml:space="preserve">    </w:t>
      </w:r>
    </w:p>
    <w:p w:rsidR="002B77F3" w:rsidRDefault="002B77F3" w:rsidP="002B77F3">
      <w:pPr>
        <w:jc w:val="both"/>
        <w:rPr>
          <w:rFonts w:ascii="Verdana" w:hAnsi="Verdana"/>
          <w:b/>
        </w:rPr>
      </w:pPr>
      <w:proofErr w:type="gramEnd"/>
    </w:p>
    <w:p w:rsidR="002B77F3" w:rsidRDefault="002B77F3" w:rsidP="002B77F3">
      <w:pPr>
        <w:jc w:val="both"/>
        <w:rPr>
          <w:rFonts w:ascii="Verdana" w:hAnsi="Verdana"/>
          <w:b/>
        </w:rPr>
      </w:pPr>
    </w:p>
    <w:p w:rsidR="002B77F3" w:rsidRPr="002B77F3" w:rsidRDefault="002B77F3" w:rsidP="002B77F3">
      <w:pPr>
        <w:widowControl w:val="0"/>
        <w:rPr>
          <w:rFonts w:ascii="Verdana" w:hAnsi="Verdana"/>
          <w:b/>
        </w:rPr>
      </w:pPr>
    </w:p>
    <w:p w:rsidR="002B77F3" w:rsidRPr="002B77F3" w:rsidRDefault="002B77F3" w:rsidP="002B77F3">
      <w:pPr>
        <w:widowControl w:val="0"/>
        <w:rPr>
          <w:rFonts w:ascii="Verdana" w:hAnsi="Verdana"/>
          <w:b/>
          <w:sz w:val="10"/>
        </w:rPr>
      </w:pPr>
    </w:p>
    <w:p w:rsidR="002B77F3" w:rsidRDefault="002B77F3" w:rsidP="002B77F3">
      <w:pPr>
        <w:spacing w:line="276" w:lineRule="auto"/>
        <w:ind w:left="180" w:right="-427"/>
        <w:rPr>
          <w:rFonts w:ascii="Verdana" w:hAnsi="Verdana"/>
          <w:b/>
        </w:rPr>
      </w:pPr>
      <w:r w:rsidRPr="002B77F3">
        <w:rPr>
          <w:rFonts w:ascii="Verdana" w:hAnsi="Verdana"/>
          <w:b/>
        </w:rPr>
        <w:t xml:space="preserve">Ver. William Meira           </w:t>
      </w:r>
      <w:r>
        <w:rPr>
          <w:rFonts w:ascii="Verdana" w:hAnsi="Verdana"/>
          <w:b/>
        </w:rPr>
        <w:t xml:space="preserve">               </w:t>
      </w:r>
      <w:r w:rsidRPr="002B77F3">
        <w:rPr>
          <w:rFonts w:ascii="Verdana" w:hAnsi="Verdana"/>
          <w:b/>
        </w:rPr>
        <w:t xml:space="preserve">  Ver.  Zanon Lamunier</w:t>
      </w:r>
      <w:proofErr w:type="gramStart"/>
      <w:r w:rsidRPr="002B77F3">
        <w:rPr>
          <w:rFonts w:ascii="Verdana" w:hAnsi="Verdana"/>
          <w:b/>
        </w:rPr>
        <w:t xml:space="preserve">  </w:t>
      </w:r>
    </w:p>
    <w:p w:rsidR="002B77F3" w:rsidRDefault="002B77F3" w:rsidP="002B77F3">
      <w:pPr>
        <w:spacing w:line="276" w:lineRule="auto"/>
        <w:ind w:left="180" w:right="-427"/>
        <w:rPr>
          <w:rFonts w:ascii="Verdana" w:hAnsi="Verdana"/>
          <w:b/>
        </w:rPr>
      </w:pPr>
      <w:proofErr w:type="gramEnd"/>
    </w:p>
    <w:p w:rsidR="002B77F3" w:rsidRDefault="002B77F3" w:rsidP="002B77F3">
      <w:pPr>
        <w:spacing w:line="276" w:lineRule="auto"/>
        <w:ind w:left="180" w:right="-427"/>
        <w:rPr>
          <w:rFonts w:ascii="Verdana" w:hAnsi="Verdana"/>
          <w:b/>
        </w:rPr>
      </w:pPr>
    </w:p>
    <w:p w:rsidR="002B77F3" w:rsidRDefault="002B77F3" w:rsidP="002B77F3">
      <w:pPr>
        <w:spacing w:line="276" w:lineRule="auto"/>
        <w:ind w:left="180" w:right="-427"/>
        <w:rPr>
          <w:rFonts w:ascii="Verdana" w:hAnsi="Verdana"/>
          <w:b/>
        </w:rPr>
      </w:pPr>
      <w:bookmarkStart w:id="0" w:name="_GoBack"/>
      <w:bookmarkEnd w:id="0"/>
    </w:p>
    <w:p w:rsidR="002B77F3" w:rsidRDefault="002B77F3" w:rsidP="002B77F3">
      <w:pPr>
        <w:spacing w:line="276" w:lineRule="auto"/>
        <w:ind w:left="180" w:right="-427"/>
        <w:rPr>
          <w:rFonts w:ascii="Verdana" w:hAnsi="Verdana"/>
          <w:b/>
        </w:rPr>
      </w:pPr>
    </w:p>
    <w:p w:rsidR="002B77F3" w:rsidRPr="002B77F3" w:rsidRDefault="002B77F3" w:rsidP="002B77F3">
      <w:pPr>
        <w:spacing w:line="276" w:lineRule="auto"/>
        <w:ind w:left="180" w:right="-427"/>
        <w:rPr>
          <w:rFonts w:ascii="Verdana" w:hAnsi="Verdana" w:cs="Arial"/>
          <w:b/>
          <w:bCs/>
          <w:snapToGrid w:val="0"/>
          <w:szCs w:val="22"/>
        </w:rPr>
      </w:pPr>
      <w:r>
        <w:rPr>
          <w:rFonts w:ascii="Verdana" w:hAnsi="Verdana"/>
          <w:b/>
        </w:rPr>
        <w:t xml:space="preserve">                            </w:t>
      </w:r>
      <w:r w:rsidRPr="002B77F3">
        <w:rPr>
          <w:rFonts w:ascii="Verdana" w:hAnsi="Verdana"/>
          <w:b/>
        </w:rPr>
        <w:t>Ver. Vilmar Vendrúscolo</w:t>
      </w:r>
    </w:p>
    <w:p w:rsidR="00BC2763" w:rsidRDefault="00BC2763" w:rsidP="00AB1414">
      <w:pPr>
        <w:widowControl w:val="0"/>
        <w:spacing w:line="276" w:lineRule="auto"/>
        <w:ind w:right="-427" w:firstLine="1701"/>
        <w:jc w:val="both"/>
      </w:pPr>
    </w:p>
    <w:sectPr w:rsidR="00BC2763" w:rsidSect="00BC2763">
      <w:headerReference w:type="default" r:id="rId8"/>
      <w:pgSz w:w="11906" w:h="16838"/>
      <w:pgMar w:top="1417" w:right="1701"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563" w:rsidRDefault="007C4563">
      <w:r>
        <w:separator/>
      </w:r>
    </w:p>
  </w:endnote>
  <w:endnote w:type="continuationSeparator" w:id="0">
    <w:p w:rsidR="007C4563" w:rsidRDefault="007C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563" w:rsidRDefault="007C4563">
      <w:r>
        <w:separator/>
      </w:r>
    </w:p>
  </w:footnote>
  <w:footnote w:type="continuationSeparator" w:id="0">
    <w:p w:rsidR="007C4563" w:rsidRDefault="007C4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18" w:space="0" w:color="FF0000"/>
      </w:tblBorders>
      <w:tblLook w:val="01E0" w:firstRow="1" w:lastRow="1" w:firstColumn="1" w:lastColumn="1" w:noHBand="0" w:noVBand="0"/>
    </w:tblPr>
    <w:tblGrid>
      <w:gridCol w:w="1730"/>
      <w:gridCol w:w="6990"/>
    </w:tblGrid>
    <w:tr w:rsidR="009B23CA" w:rsidTr="00BB5D9E">
      <w:trPr>
        <w:trHeight w:val="1717"/>
        <w:jc w:val="center"/>
      </w:trPr>
      <w:tc>
        <w:tcPr>
          <w:tcW w:w="1754" w:type="dxa"/>
          <w:tcBorders>
            <w:top w:val="nil"/>
            <w:left w:val="nil"/>
            <w:bottom w:val="single" w:sz="18" w:space="0" w:color="FF0000"/>
            <w:right w:val="nil"/>
          </w:tcBorders>
          <w:hideMark/>
        </w:tcPr>
        <w:p w:rsidR="00BB5D9E" w:rsidRDefault="007F5E98" w:rsidP="00BB5D9E">
          <w:pPr>
            <w:pStyle w:val="Ttulo2"/>
            <w:ind w:left="0"/>
            <w:jc w:val="both"/>
            <w:rPr>
              <w:szCs w:val="28"/>
            </w:rPr>
          </w:pPr>
          <w:r>
            <w:rPr>
              <w:noProof/>
              <w:snapToGrid/>
              <w:szCs w:val="28"/>
            </w:rPr>
            <w:drawing>
              <wp:inline distT="0" distB="0" distL="0" distR="0" wp14:anchorId="64A45C95" wp14:editId="1080BAB7">
                <wp:extent cx="806450" cy="857250"/>
                <wp:effectExtent l="0" t="0" r="0" b="0"/>
                <wp:docPr id="4" name="Imagem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46394" name="Picture 126"/>
                        <pic:cNvPicPr>
                          <a:picLocks noChangeAspect="1" noChangeArrowheads="1"/>
                        </pic:cNvPicPr>
                      </pic:nvPicPr>
                      <pic:blipFill>
                        <a:blip r:embed="rId1"/>
                        <a:stretch>
                          <a:fillRect/>
                        </a:stretch>
                      </pic:blipFill>
                      <pic:spPr bwMode="auto">
                        <a:xfrm>
                          <a:off x="0" y="0"/>
                          <a:ext cx="806450" cy="857250"/>
                        </a:xfrm>
                        <a:prstGeom prst="rect">
                          <a:avLst/>
                        </a:prstGeom>
                        <a:noFill/>
                        <a:ln w="9525">
                          <a:noFill/>
                          <a:miter lim="800000"/>
                          <a:headEnd/>
                          <a:tailEnd/>
                        </a:ln>
                      </pic:spPr>
                    </pic:pic>
                  </a:graphicData>
                </a:graphic>
              </wp:inline>
            </w:drawing>
          </w:r>
        </w:p>
      </w:tc>
      <w:tc>
        <w:tcPr>
          <w:tcW w:w="7449" w:type="dxa"/>
          <w:tcBorders>
            <w:top w:val="nil"/>
            <w:left w:val="nil"/>
            <w:bottom w:val="single" w:sz="18" w:space="0" w:color="FF0000"/>
            <w:right w:val="nil"/>
          </w:tcBorders>
          <w:vAlign w:val="center"/>
          <w:hideMark/>
        </w:tcPr>
        <w:p w:rsidR="00BB5D9E" w:rsidRPr="003A38CE" w:rsidRDefault="007F5E98" w:rsidP="00D92B76">
          <w:pPr>
            <w:pStyle w:val="Ttulo2"/>
            <w:ind w:left="-112"/>
            <w:rPr>
              <w:rFonts w:ascii="Cambria" w:hAnsi="Cambria" w:cs="Tunga"/>
              <w:sz w:val="36"/>
              <w:szCs w:val="36"/>
            </w:rPr>
          </w:pPr>
          <w:r w:rsidRPr="003A38CE">
            <w:rPr>
              <w:rFonts w:ascii="Cambria" w:hAnsi="Cambria"/>
              <w:b/>
              <w:szCs w:val="28"/>
            </w:rPr>
            <w:t xml:space="preserve">   </w:t>
          </w:r>
          <w:r w:rsidRPr="003A38CE">
            <w:rPr>
              <w:rFonts w:ascii="Cambria" w:hAnsi="Cambria" w:cs="Tunga"/>
              <w:b/>
              <w:sz w:val="36"/>
              <w:szCs w:val="36"/>
            </w:rPr>
            <w:t>CÂMARA MUNICIPAL DE COXIM</w:t>
          </w:r>
          <w:r>
            <w:rPr>
              <w:rFonts w:ascii="Cambria" w:hAnsi="Cambria" w:cs="Tunga"/>
              <w:sz w:val="36"/>
              <w:szCs w:val="36"/>
            </w:rPr>
            <w:t xml:space="preserve"> </w:t>
          </w:r>
        </w:p>
        <w:p w:rsidR="00BB5D9E" w:rsidRPr="00D919D9" w:rsidRDefault="007F5E98" w:rsidP="00D919D9">
          <w:pPr>
            <w:pStyle w:val="Ttulo2"/>
            <w:ind w:left="344"/>
            <w:rPr>
              <w:rFonts w:ascii="Cambria" w:hAnsi="Cambria" w:cs="Tunga"/>
            </w:rPr>
          </w:pPr>
          <w:r w:rsidRPr="003A38CE">
            <w:rPr>
              <w:rFonts w:ascii="Cambria" w:hAnsi="Cambria" w:cs="Tunga"/>
              <w:szCs w:val="28"/>
            </w:rPr>
            <w:t xml:space="preserve">         </w:t>
          </w:r>
          <w:r>
            <w:rPr>
              <w:rFonts w:ascii="Cambria" w:hAnsi="Cambria" w:cs="Tunga"/>
              <w:szCs w:val="28"/>
            </w:rPr>
            <w:t xml:space="preserve">    </w:t>
          </w:r>
          <w:r w:rsidRPr="003A38CE">
            <w:rPr>
              <w:rFonts w:ascii="Cambria" w:hAnsi="Cambria" w:cs="Tunga"/>
            </w:rPr>
            <w:t xml:space="preserve">ESTADO DE MATO GROSSO DO SUL </w:t>
          </w:r>
        </w:p>
        <w:p w:rsidR="00BB5D9E" w:rsidRPr="00CA2DC3" w:rsidRDefault="00BB5D9E" w:rsidP="00BB5D9E">
          <w:pPr>
            <w:pStyle w:val="Ttulo2"/>
            <w:rPr>
              <w:rFonts w:ascii="Cambria" w:hAnsi="Cambria"/>
              <w:b/>
            </w:rPr>
          </w:pPr>
        </w:p>
      </w:tc>
    </w:tr>
  </w:tbl>
  <w:p w:rsidR="00BB5D9E" w:rsidRPr="00D919D9" w:rsidRDefault="007F5E98" w:rsidP="00020375">
    <w:pPr>
      <w:pStyle w:val="Cabealho"/>
      <w:rPr>
        <w:sz w:val="2"/>
      </w:rPr>
    </w:pPr>
    <w:r w:rsidRPr="00D919D9">
      <w:rPr>
        <w:noProof/>
        <w:sz w:val="2"/>
      </w:rPr>
      <w:drawing>
        <wp:anchor distT="0" distB="0" distL="114300" distR="114300" simplePos="0" relativeHeight="251658240" behindDoc="0" locked="0" layoutInCell="1" allowOverlap="1" wp14:anchorId="3587B840" wp14:editId="32B44AD0">
          <wp:simplePos x="0" y="0"/>
          <wp:positionH relativeFrom="rightMargin">
            <wp:align>center</wp:align>
          </wp:positionH>
          <wp:positionV relativeFrom="page">
            <wp:align>center</wp:align>
          </wp:positionV>
          <wp:extent cx="381000" cy="2943225"/>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29432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3849AC"/>
    <w:multiLevelType w:val="hybridMultilevel"/>
    <w:tmpl w:val="DB725CFC"/>
    <w:lvl w:ilvl="0" w:tplc="B8BC88A6">
      <w:start w:val="1"/>
      <w:numFmt w:val="lowerLetter"/>
      <w:lvlText w:val="%1)"/>
      <w:lvlJc w:val="left"/>
      <w:pPr>
        <w:ind w:left="1099" w:hanging="39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12"/>
    <w:rsid w:val="00020375"/>
    <w:rsid w:val="001372F7"/>
    <w:rsid w:val="002B77F3"/>
    <w:rsid w:val="003A38CE"/>
    <w:rsid w:val="003C16FF"/>
    <w:rsid w:val="003E74C7"/>
    <w:rsid w:val="00436DD0"/>
    <w:rsid w:val="005066F0"/>
    <w:rsid w:val="0068425D"/>
    <w:rsid w:val="00742693"/>
    <w:rsid w:val="007C4563"/>
    <w:rsid w:val="007F5E98"/>
    <w:rsid w:val="00804490"/>
    <w:rsid w:val="008C5374"/>
    <w:rsid w:val="008C5CE6"/>
    <w:rsid w:val="00945FA5"/>
    <w:rsid w:val="009B23CA"/>
    <w:rsid w:val="00A0273D"/>
    <w:rsid w:val="00A0510A"/>
    <w:rsid w:val="00A3118E"/>
    <w:rsid w:val="00AB1412"/>
    <w:rsid w:val="00AB1414"/>
    <w:rsid w:val="00AB4B0B"/>
    <w:rsid w:val="00BB5D9E"/>
    <w:rsid w:val="00BC2763"/>
    <w:rsid w:val="00CA2DC3"/>
    <w:rsid w:val="00D15052"/>
    <w:rsid w:val="00D17355"/>
    <w:rsid w:val="00D66142"/>
    <w:rsid w:val="00D919D9"/>
    <w:rsid w:val="00D92B76"/>
    <w:rsid w:val="00EB7754"/>
    <w:rsid w:val="00EE1758"/>
    <w:rsid w:val="00F85CD0"/>
    <w:rsid w:val="00F95A4D"/>
    <w:rsid w:val="00FA29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12"/>
    <w:pPr>
      <w:spacing w:after="0" w:line="240" w:lineRule="auto"/>
    </w:pPr>
    <w:rPr>
      <w:rFonts w:ascii="Times New Roman" w:eastAsia="MS Mincho" w:hAnsi="Times New Roman" w:cs="Times New Roman"/>
      <w:sz w:val="24"/>
      <w:szCs w:val="24"/>
      <w:lang w:eastAsia="pt-BR"/>
    </w:rPr>
  </w:style>
  <w:style w:type="paragraph" w:styleId="Ttulo2">
    <w:name w:val="heading 2"/>
    <w:basedOn w:val="Normal"/>
    <w:next w:val="Normal"/>
    <w:link w:val="Ttulo2Char"/>
    <w:qFormat/>
    <w:rsid w:val="00AB1412"/>
    <w:pPr>
      <w:keepNext/>
      <w:widowControl w:val="0"/>
      <w:ind w:left="1440" w:hanging="22"/>
      <w:outlineLvl w:val="1"/>
    </w:pPr>
    <w:rPr>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AB1412"/>
    <w:rPr>
      <w:rFonts w:ascii="Times New Roman" w:eastAsia="MS Mincho" w:hAnsi="Times New Roman" w:cs="Times New Roman"/>
      <w:snapToGrid w:val="0"/>
      <w:sz w:val="24"/>
      <w:szCs w:val="20"/>
      <w:lang w:eastAsia="pt-BR"/>
    </w:rPr>
  </w:style>
  <w:style w:type="paragraph" w:styleId="Cabealho">
    <w:name w:val="header"/>
    <w:basedOn w:val="Normal"/>
    <w:link w:val="CabealhoChar"/>
    <w:unhideWhenUsed/>
    <w:rsid w:val="00AB1412"/>
    <w:pPr>
      <w:tabs>
        <w:tab w:val="center" w:pos="4252"/>
        <w:tab w:val="right" w:pos="8504"/>
      </w:tabs>
    </w:pPr>
  </w:style>
  <w:style w:type="character" w:customStyle="1" w:styleId="CabealhoChar">
    <w:name w:val="Cabeçalho Char"/>
    <w:basedOn w:val="Fontepargpadro"/>
    <w:link w:val="Cabealho"/>
    <w:rsid w:val="00AB1412"/>
    <w:rPr>
      <w:rFonts w:ascii="Times New Roman" w:eastAsia="MS Mincho" w:hAnsi="Times New Roman" w:cs="Times New Roman"/>
      <w:sz w:val="24"/>
      <w:szCs w:val="24"/>
      <w:lang w:eastAsia="pt-BR"/>
    </w:rPr>
  </w:style>
  <w:style w:type="paragraph" w:styleId="Rodap">
    <w:name w:val="footer"/>
    <w:basedOn w:val="Normal"/>
    <w:link w:val="RodapChar"/>
    <w:uiPriority w:val="99"/>
    <w:unhideWhenUsed/>
    <w:rsid w:val="00AB1412"/>
    <w:pPr>
      <w:tabs>
        <w:tab w:val="center" w:pos="4252"/>
        <w:tab w:val="right" w:pos="8504"/>
      </w:tabs>
    </w:pPr>
  </w:style>
  <w:style w:type="character" w:customStyle="1" w:styleId="RodapChar">
    <w:name w:val="Rodapé Char"/>
    <w:basedOn w:val="Fontepargpadro"/>
    <w:link w:val="Rodap"/>
    <w:uiPriority w:val="99"/>
    <w:rsid w:val="00AB1412"/>
    <w:rPr>
      <w:rFonts w:ascii="Times New Roman" w:eastAsia="MS Mincho" w:hAnsi="Times New Roman" w:cs="Times New Roman"/>
      <w:sz w:val="24"/>
      <w:szCs w:val="24"/>
      <w:lang w:eastAsia="pt-BR"/>
    </w:rPr>
  </w:style>
  <w:style w:type="paragraph" w:styleId="Textodebalo">
    <w:name w:val="Balloon Text"/>
    <w:basedOn w:val="Normal"/>
    <w:link w:val="TextodebaloChar"/>
    <w:uiPriority w:val="99"/>
    <w:semiHidden/>
    <w:unhideWhenUsed/>
    <w:rsid w:val="00EB7754"/>
    <w:rPr>
      <w:rFonts w:ascii="Tahoma" w:hAnsi="Tahoma" w:cs="Tahoma"/>
      <w:sz w:val="16"/>
      <w:szCs w:val="16"/>
    </w:rPr>
  </w:style>
  <w:style w:type="character" w:customStyle="1" w:styleId="TextodebaloChar">
    <w:name w:val="Texto de balão Char"/>
    <w:basedOn w:val="Fontepargpadro"/>
    <w:link w:val="Textodebalo"/>
    <w:uiPriority w:val="99"/>
    <w:semiHidden/>
    <w:rsid w:val="00EB7754"/>
    <w:rPr>
      <w:rFonts w:ascii="Tahoma" w:eastAsia="MS Mincho" w:hAnsi="Tahoma" w:cs="Tahoma"/>
      <w:sz w:val="16"/>
      <w:szCs w:val="16"/>
      <w:lang w:eastAsia="pt-BR"/>
    </w:rPr>
  </w:style>
  <w:style w:type="paragraph" w:styleId="PargrafodaLista">
    <w:name w:val="List Paragraph"/>
    <w:basedOn w:val="Normal"/>
    <w:uiPriority w:val="34"/>
    <w:qFormat/>
    <w:rsid w:val="00BC27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12"/>
    <w:pPr>
      <w:spacing w:after="0" w:line="240" w:lineRule="auto"/>
    </w:pPr>
    <w:rPr>
      <w:rFonts w:ascii="Times New Roman" w:eastAsia="MS Mincho" w:hAnsi="Times New Roman" w:cs="Times New Roman"/>
      <w:sz w:val="24"/>
      <w:szCs w:val="24"/>
      <w:lang w:eastAsia="pt-BR"/>
    </w:rPr>
  </w:style>
  <w:style w:type="paragraph" w:styleId="Ttulo2">
    <w:name w:val="heading 2"/>
    <w:basedOn w:val="Normal"/>
    <w:next w:val="Normal"/>
    <w:link w:val="Ttulo2Char"/>
    <w:qFormat/>
    <w:rsid w:val="00AB1412"/>
    <w:pPr>
      <w:keepNext/>
      <w:widowControl w:val="0"/>
      <w:ind w:left="1440" w:hanging="22"/>
      <w:outlineLvl w:val="1"/>
    </w:pPr>
    <w:rPr>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AB1412"/>
    <w:rPr>
      <w:rFonts w:ascii="Times New Roman" w:eastAsia="MS Mincho" w:hAnsi="Times New Roman" w:cs="Times New Roman"/>
      <w:snapToGrid w:val="0"/>
      <w:sz w:val="24"/>
      <w:szCs w:val="20"/>
      <w:lang w:eastAsia="pt-BR"/>
    </w:rPr>
  </w:style>
  <w:style w:type="paragraph" w:styleId="Cabealho">
    <w:name w:val="header"/>
    <w:basedOn w:val="Normal"/>
    <w:link w:val="CabealhoChar"/>
    <w:unhideWhenUsed/>
    <w:rsid w:val="00AB1412"/>
    <w:pPr>
      <w:tabs>
        <w:tab w:val="center" w:pos="4252"/>
        <w:tab w:val="right" w:pos="8504"/>
      </w:tabs>
    </w:pPr>
  </w:style>
  <w:style w:type="character" w:customStyle="1" w:styleId="CabealhoChar">
    <w:name w:val="Cabeçalho Char"/>
    <w:basedOn w:val="Fontepargpadro"/>
    <w:link w:val="Cabealho"/>
    <w:rsid w:val="00AB1412"/>
    <w:rPr>
      <w:rFonts w:ascii="Times New Roman" w:eastAsia="MS Mincho" w:hAnsi="Times New Roman" w:cs="Times New Roman"/>
      <w:sz w:val="24"/>
      <w:szCs w:val="24"/>
      <w:lang w:eastAsia="pt-BR"/>
    </w:rPr>
  </w:style>
  <w:style w:type="paragraph" w:styleId="Rodap">
    <w:name w:val="footer"/>
    <w:basedOn w:val="Normal"/>
    <w:link w:val="RodapChar"/>
    <w:uiPriority w:val="99"/>
    <w:unhideWhenUsed/>
    <w:rsid w:val="00AB1412"/>
    <w:pPr>
      <w:tabs>
        <w:tab w:val="center" w:pos="4252"/>
        <w:tab w:val="right" w:pos="8504"/>
      </w:tabs>
    </w:pPr>
  </w:style>
  <w:style w:type="character" w:customStyle="1" w:styleId="RodapChar">
    <w:name w:val="Rodapé Char"/>
    <w:basedOn w:val="Fontepargpadro"/>
    <w:link w:val="Rodap"/>
    <w:uiPriority w:val="99"/>
    <w:rsid w:val="00AB1412"/>
    <w:rPr>
      <w:rFonts w:ascii="Times New Roman" w:eastAsia="MS Mincho" w:hAnsi="Times New Roman" w:cs="Times New Roman"/>
      <w:sz w:val="24"/>
      <w:szCs w:val="24"/>
      <w:lang w:eastAsia="pt-BR"/>
    </w:rPr>
  </w:style>
  <w:style w:type="paragraph" w:styleId="Textodebalo">
    <w:name w:val="Balloon Text"/>
    <w:basedOn w:val="Normal"/>
    <w:link w:val="TextodebaloChar"/>
    <w:uiPriority w:val="99"/>
    <w:semiHidden/>
    <w:unhideWhenUsed/>
    <w:rsid w:val="00EB7754"/>
    <w:rPr>
      <w:rFonts w:ascii="Tahoma" w:hAnsi="Tahoma" w:cs="Tahoma"/>
      <w:sz w:val="16"/>
      <w:szCs w:val="16"/>
    </w:rPr>
  </w:style>
  <w:style w:type="character" w:customStyle="1" w:styleId="TextodebaloChar">
    <w:name w:val="Texto de balão Char"/>
    <w:basedOn w:val="Fontepargpadro"/>
    <w:link w:val="Textodebalo"/>
    <w:uiPriority w:val="99"/>
    <w:semiHidden/>
    <w:rsid w:val="00EB7754"/>
    <w:rPr>
      <w:rFonts w:ascii="Tahoma" w:eastAsia="MS Mincho" w:hAnsi="Tahoma" w:cs="Tahoma"/>
      <w:sz w:val="16"/>
      <w:szCs w:val="16"/>
      <w:lang w:eastAsia="pt-BR"/>
    </w:rPr>
  </w:style>
  <w:style w:type="paragraph" w:styleId="PargrafodaLista">
    <w:name w:val="List Paragraph"/>
    <w:basedOn w:val="Normal"/>
    <w:uiPriority w:val="34"/>
    <w:qFormat/>
    <w:rsid w:val="00BC2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2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1856</Words>
  <Characters>10027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admin</cp:lastModifiedBy>
  <cp:revision>12</cp:revision>
  <cp:lastPrinted>2021-12-07T14:30:00Z</cp:lastPrinted>
  <dcterms:created xsi:type="dcterms:W3CDTF">2021-12-07T01:21:00Z</dcterms:created>
  <dcterms:modified xsi:type="dcterms:W3CDTF">2021-12-07T14:30:00Z</dcterms:modified>
</cp:coreProperties>
</file>