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02D3" w14:textId="78DB9E63" w:rsidR="00044E3C" w:rsidRDefault="00E4504C" w:rsidP="00580E9E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Nº    </w:t>
      </w:r>
      <w:r w:rsidR="001B3B13">
        <w:rPr>
          <w:rFonts w:eastAsia="Calibri"/>
          <w:b/>
          <w:smallCaps/>
          <w:sz w:val="24"/>
          <w:szCs w:val="24"/>
        </w:rPr>
        <w:t>04</w:t>
      </w:r>
      <w:r w:rsidR="00AB0F1C">
        <w:rPr>
          <w:rFonts w:eastAsia="Calibri"/>
          <w:b/>
          <w:smallCaps/>
          <w:sz w:val="24"/>
          <w:szCs w:val="24"/>
        </w:rPr>
        <w:t>3</w:t>
      </w:r>
      <w:r>
        <w:rPr>
          <w:rFonts w:eastAsia="Calibri"/>
          <w:b/>
          <w:smallCaps/>
          <w:sz w:val="24"/>
          <w:szCs w:val="24"/>
        </w:rPr>
        <w:t xml:space="preserve">,    DE    </w:t>
      </w:r>
      <w:r w:rsidR="001B3B13">
        <w:rPr>
          <w:rFonts w:eastAsia="Calibri"/>
          <w:b/>
          <w:smallCaps/>
          <w:sz w:val="24"/>
          <w:szCs w:val="24"/>
        </w:rPr>
        <w:t>27</w:t>
      </w:r>
      <w:r>
        <w:rPr>
          <w:rFonts w:eastAsia="Calibri"/>
          <w:b/>
          <w:smallCaps/>
          <w:sz w:val="24"/>
          <w:szCs w:val="24"/>
        </w:rPr>
        <w:t xml:space="preserve">    DE   </w:t>
      </w:r>
      <w:r w:rsidR="001B3B13">
        <w:rPr>
          <w:rFonts w:eastAsia="Calibri"/>
          <w:b/>
          <w:smallCaps/>
          <w:sz w:val="24"/>
          <w:szCs w:val="24"/>
        </w:rPr>
        <w:t>OUTUBRO</w:t>
      </w:r>
      <w:r>
        <w:rPr>
          <w:rFonts w:eastAsia="Calibri"/>
          <w:b/>
          <w:smallCaps/>
          <w:sz w:val="24"/>
          <w:szCs w:val="24"/>
        </w:rPr>
        <w:t xml:space="preserve">     DE     2021.</w:t>
      </w:r>
    </w:p>
    <w:p w14:paraId="607CECF6" w14:textId="77777777" w:rsidR="00743182" w:rsidRDefault="00743182" w:rsidP="00AB0F1C">
      <w:pPr>
        <w:spacing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72AD0FBA" w14:textId="1C5821F2" w:rsidR="00B05983" w:rsidRPr="00AB0F1C" w:rsidRDefault="00E4504C" w:rsidP="00AB0F1C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 w:rsidRPr="00B70CD2">
        <w:rPr>
          <w:rFonts w:eastAsia="Calibri"/>
          <w:b/>
          <w:i/>
          <w:iCs/>
          <w:sz w:val="24"/>
          <w:szCs w:val="24"/>
        </w:rPr>
        <w:t>“</w:t>
      </w:r>
      <w:r w:rsidR="00AB0F1C">
        <w:rPr>
          <w:b/>
          <w:i/>
          <w:sz w:val="24"/>
          <w:szCs w:val="24"/>
        </w:rPr>
        <w:t>DISPÕE SOBRE AS INDENIZAÇÕES DESTINADAS AOS PARLAMENTARES E DÁ OUTRAS PROVIDÊNCIAS</w:t>
      </w:r>
      <w:r w:rsidRPr="00B70CD2">
        <w:rPr>
          <w:rFonts w:eastAsia="Calibri"/>
          <w:b/>
          <w:i/>
          <w:iCs/>
          <w:sz w:val="24"/>
          <w:szCs w:val="24"/>
        </w:rPr>
        <w:t>”.</w:t>
      </w:r>
    </w:p>
    <w:p w14:paraId="74414548" w14:textId="77777777" w:rsidR="00754A2F" w:rsidRPr="00B70CD2" w:rsidRDefault="00754A2F" w:rsidP="00B05983">
      <w:pPr>
        <w:rPr>
          <w:sz w:val="24"/>
          <w:szCs w:val="24"/>
        </w:rPr>
      </w:pPr>
    </w:p>
    <w:p w14:paraId="070BDEF5" w14:textId="77777777" w:rsidR="00580E9E" w:rsidRDefault="00E4504C" w:rsidP="00AB0F1C">
      <w:pPr>
        <w:pStyle w:val="Recuodecorpodetexto2"/>
        <w:spacing w:after="0" w:line="240" w:lineRule="auto"/>
        <w:ind w:left="0" w:right="99" w:firstLine="1701"/>
        <w:jc w:val="both"/>
        <w:rPr>
          <w:sz w:val="24"/>
          <w:szCs w:val="24"/>
        </w:rPr>
      </w:pPr>
      <w:r>
        <w:rPr>
          <w:b/>
          <w:bCs/>
          <w:iCs/>
          <w:smallCaps/>
          <w:sz w:val="24"/>
          <w:szCs w:val="24"/>
        </w:rPr>
        <w:t>O VEREADOR CLÁUDIO FERREIRA DA SILVA - PSD</w:t>
      </w:r>
      <w:r>
        <w:rPr>
          <w:b/>
          <w:bCs/>
          <w:iCs/>
          <w:smallCaps/>
          <w:sz w:val="24"/>
          <w:szCs w:val="24"/>
        </w:rPr>
        <w:t xml:space="preserve"> - PRESIDENTE DA CÂMARA MUNICIPAL DE JARAGUARI</w:t>
      </w:r>
      <w:r>
        <w:rPr>
          <w:sz w:val="24"/>
          <w:szCs w:val="24"/>
        </w:rPr>
        <w:t xml:space="preserve">, Estado de Mato Grosso do Sul, no uso de suas atribuições legais, que lhe são conferidas e com fulcro no art. 137, § 2º, inciso VI, do Regimento Interno desta Casa de Leis, faz saber que o Plenário da Câmara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provou</w:t>
      </w:r>
      <w:r>
        <w:rPr>
          <w:sz w:val="24"/>
          <w:szCs w:val="24"/>
        </w:rPr>
        <w:t xml:space="preserve"> e ele </w:t>
      </w:r>
      <w:r>
        <w:rPr>
          <w:b/>
          <w:sz w:val="24"/>
          <w:szCs w:val="24"/>
        </w:rPr>
        <w:t>promulga</w:t>
      </w:r>
      <w:r>
        <w:rPr>
          <w:sz w:val="24"/>
          <w:szCs w:val="24"/>
        </w:rPr>
        <w:t xml:space="preserve"> a seguinte Resolução:</w:t>
      </w:r>
    </w:p>
    <w:p w14:paraId="3668A333" w14:textId="77777777" w:rsidR="00AB0F1C" w:rsidRDefault="00AB0F1C" w:rsidP="00AB0F1C">
      <w:pPr>
        <w:ind w:firstLine="1701"/>
        <w:jc w:val="both"/>
        <w:rPr>
          <w:b/>
          <w:sz w:val="24"/>
          <w:szCs w:val="24"/>
        </w:rPr>
      </w:pPr>
    </w:p>
    <w:p w14:paraId="6749B451" w14:textId="77777777" w:rsidR="00AB0F1C" w:rsidRDefault="00AB0F1C" w:rsidP="00AB0F1C">
      <w:pPr>
        <w:ind w:firstLine="1701"/>
        <w:jc w:val="both"/>
        <w:rPr>
          <w:bCs/>
          <w:i/>
          <w:color w:val="806000" w:themeColor="accent4" w:themeShade="80"/>
          <w:sz w:val="24"/>
          <w:szCs w:val="24"/>
        </w:rPr>
      </w:pPr>
      <w:r>
        <w:rPr>
          <w:b/>
          <w:sz w:val="24"/>
          <w:szCs w:val="24"/>
        </w:rPr>
        <w:t>Art. 1º.</w:t>
      </w:r>
      <w:r>
        <w:rPr>
          <w:sz w:val="24"/>
          <w:szCs w:val="24"/>
        </w:rPr>
        <w:t xml:space="preserve"> Este Ato regula as indenizações destinadas ao reembolso de despesas exclusivamente vinculadas ao exercício da atividade parlamentar em razão do exercício do mandato e estabelece as normas referentes à prestação de contas.</w:t>
      </w:r>
      <w:r>
        <w:rPr>
          <w:bCs/>
          <w:i/>
          <w:color w:val="806000" w:themeColor="accent4" w:themeShade="80"/>
          <w:sz w:val="24"/>
          <w:szCs w:val="24"/>
        </w:rPr>
        <w:t xml:space="preserve"> </w:t>
      </w:r>
    </w:p>
    <w:p w14:paraId="11976AA2" w14:textId="77777777" w:rsidR="00AB0F1C" w:rsidRDefault="00AB0F1C" w:rsidP="00AB0F1C">
      <w:pPr>
        <w:ind w:firstLine="1701"/>
        <w:jc w:val="both"/>
        <w:rPr>
          <w:b/>
          <w:sz w:val="24"/>
          <w:szCs w:val="24"/>
        </w:rPr>
      </w:pPr>
    </w:p>
    <w:p w14:paraId="78E28F35" w14:textId="77777777" w:rsidR="00AB0F1C" w:rsidRDefault="00AB0F1C" w:rsidP="00AB0F1C">
      <w:pPr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2º. </w:t>
      </w:r>
      <w:r>
        <w:rPr>
          <w:sz w:val="24"/>
          <w:szCs w:val="24"/>
        </w:rPr>
        <w:t>Fica fixada em até R$ 1.000,00 (hum mil reais), mensais, a verba indenizatória destinada, exclusivamente, a reembolsar as despesas de que trata o artigo anterior relativas a:</w:t>
      </w:r>
    </w:p>
    <w:p w14:paraId="269CD399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 – locação de carros para locomoção, no perímetro urbano, do Parlamentar e de assessores vinculados ao seu gabinete;</w:t>
      </w:r>
    </w:p>
    <w:p w14:paraId="696E6B6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II – aquisição de combustíveis, lubrificantes, bem como gastos de estacionamento e limpeza veicular; o Parlamentar deverá comunicar previamente o setor competente da Câmara Municipal, mediante o preenchimento de documento fornecido pelo próprio setor, a placa dos carros que serão abastecidos ou utilizarão os produtos constantes deste inciso e, nos dois casos, sua finalidade, sob pena de não reembolso das despesas;</w:t>
      </w:r>
    </w:p>
    <w:p w14:paraId="4C1BFC14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sz w:val="24"/>
          <w:szCs w:val="24"/>
        </w:rPr>
        <w:t>III – aquisição de material de expediente, impressos e outros materiais de consumo, bem como a locação de móveis e equipamentos, excedentes àquelas</w:t>
      </w:r>
      <w:r>
        <w:rPr>
          <w:rFonts w:eastAsia="Calibri"/>
          <w:sz w:val="24"/>
          <w:szCs w:val="24"/>
        </w:rPr>
        <w:t xml:space="preserve"> custeadas pela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-MS; todo Material adquirido deverá ser relacionado e comunicado separadamente ao setor competente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- MS;</w:t>
      </w:r>
    </w:p>
    <w:p w14:paraId="68A2700B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IV – Telefonia; o reembolso das despesas com telefonia somente será realizado mediante o cadastramento dos números a serem utilizados pelo Parlamentar no exercício do mandato;</w:t>
      </w:r>
    </w:p>
    <w:p w14:paraId="3AB13B99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V – aquisição de livros e assinaturas de jornais, revistas e serviços de provedores de Internet, aquisição ou locação de software, serviços postais, assinatura de publicações, TV a cabo ou similar, acesso </w:t>
      </w:r>
      <w:proofErr w:type="spellStart"/>
      <w:r>
        <w:rPr>
          <w:rFonts w:eastAsia="Calibri"/>
          <w:sz w:val="24"/>
          <w:szCs w:val="24"/>
        </w:rPr>
        <w:t>a</w:t>
      </w:r>
      <w:proofErr w:type="spellEnd"/>
      <w:r>
        <w:rPr>
          <w:rFonts w:eastAsia="Calibri"/>
          <w:sz w:val="24"/>
          <w:szCs w:val="24"/>
        </w:rPr>
        <w:t xml:space="preserve"> internet e extração de cópias reprográficas, digitais e similares;</w:t>
      </w:r>
    </w:p>
    <w:p w14:paraId="3C48421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VI – despesas com realização de seminários e outros eventos promovidos nas dependências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– MS, desde que guardem estrita relação com o exercício do mandato e observadas as normas que disciplinam seu uso;</w:t>
      </w:r>
    </w:p>
    <w:p w14:paraId="3B1D0ABB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VII – serviços gráficos;</w:t>
      </w:r>
    </w:p>
    <w:p w14:paraId="64318A9D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VIII – publicidade institucional relativa à divulgação da atividade parlamentar, exceto nos 90 (noventa) dias anteriores à data das eleições de âmbito federal, estadual ou municipal, salvo se o Vereador não for candidato à eleição, não sendo admitidos gastos com propaganda eleitoral de qualquer espécie; a indevida utilização do material previsto neste inciso é </w:t>
      </w:r>
      <w:r>
        <w:rPr>
          <w:rFonts w:eastAsia="Calibri"/>
          <w:sz w:val="24"/>
          <w:szCs w:val="24"/>
        </w:rPr>
        <w:lastRenderedPageBreak/>
        <w:t xml:space="preserve">de inteira responsabilidade do Parlamentar; qualquer norma eleitoral que sobrevier a este inciso deverá se obedecida pelo Parlamentar, independente de comunicação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(MS).</w:t>
      </w:r>
    </w:p>
    <w:p w14:paraId="5B9F8B57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sz w:val="24"/>
          <w:szCs w:val="24"/>
        </w:rPr>
      </w:pPr>
    </w:p>
    <w:p w14:paraId="12B16E70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Art. 3º.</w:t>
      </w:r>
      <w:r>
        <w:rPr>
          <w:rFonts w:eastAsia="Calibri"/>
          <w:sz w:val="24"/>
          <w:szCs w:val="24"/>
        </w:rPr>
        <w:t xml:space="preserve"> A utilização da verba se dará mediante reembolso, inclusive em caso de despesas realizadas por meio eletrônico.</w:t>
      </w:r>
    </w:p>
    <w:p w14:paraId="3BE66C6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sz w:val="24"/>
          <w:szCs w:val="24"/>
        </w:rPr>
      </w:pPr>
    </w:p>
    <w:p w14:paraId="11D930E4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Art. 4º.</w:t>
      </w:r>
      <w:r>
        <w:rPr>
          <w:rFonts w:eastAsia="Calibri"/>
          <w:sz w:val="24"/>
          <w:szCs w:val="24"/>
        </w:rPr>
        <w:t xml:space="preserve"> A solicitação do reembolso será efetuada mediante requerimento, assinado pelo Parlamentar, que, nesse ato, declarará assumir inteira responsabilidade pela liquidação da despesa, atestando que:</w:t>
      </w:r>
    </w:p>
    <w:p w14:paraId="5435584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 – o material foi recebido ou o serviço prestado;</w:t>
      </w:r>
    </w:p>
    <w:p w14:paraId="1D8826CF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 – o objeto do gasto obedece aos limites estabelecidos na legislação;</w:t>
      </w:r>
    </w:p>
    <w:p w14:paraId="0B45A194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III – a documentação apresentada é autêntica e legítima.</w:t>
      </w:r>
    </w:p>
    <w:p w14:paraId="09545E18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1º Os reembolsos relativos às verbas a que se refere este Ato são de caráter indenizatório.</w:t>
      </w:r>
    </w:p>
    <w:p w14:paraId="04AA827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2º Será objeto de ressarcimento a despesa comprovada por documento original, em primeira via, quitado e em nome do Vereador, ressalvado o disposto no § 4º deste artigo.</w:t>
      </w:r>
    </w:p>
    <w:p w14:paraId="1C5B7DC6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3º O documento a que se refere o parágrafo anterior deverá estar isento de rasuras, acréscimos, emendas ou entrelinhas, além de datado e discriminado por item de serviço prestado ou material fornecido, não se admitindo generalizações ou abreviaturas que impossibilitem a identificação da despesa, podendo ser:</w:t>
      </w:r>
    </w:p>
    <w:p w14:paraId="7CF4E267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 – nota fiscal hábil segundo a natureza da operação, emitida dentro da validade;</w:t>
      </w:r>
    </w:p>
    <w:p w14:paraId="599E8293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 – recibo devidamente assinado, contendo identificação e endereço completo do beneficiário do pagamento e discriminação da despesa, no caso de pessoa jurídica comprovadamente isenta da obrigação de emitir documento fiscal.</w:t>
      </w:r>
    </w:p>
    <w:p w14:paraId="310436AB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4º Admite-se a comprovação da despesa por meio de cupom fiscal ou nota fiscal simplificada quitada, mesmo que o documento não contenha o campo próprio destinado ao nome do beneficiário do produto ou serviço.</w:t>
      </w:r>
    </w:p>
    <w:p w14:paraId="09B1FBDE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5º É vedado o reembolso de pagamento realizado a pessoa física, salvo nos casos de apresentação da nota fiscal.</w:t>
      </w:r>
    </w:p>
    <w:p w14:paraId="0C181A8A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6º Não será objeto de ressarcimento a despesa efetuada com aquisição de material permanente, nem de gêneros alimentícios.</w:t>
      </w:r>
    </w:p>
    <w:p w14:paraId="13BEDE07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7º Cada despesa efetivada, observada sua natureza, não poderá exceder, mensalmente, o limite de dispensa de licitação previsto no inciso II do artigo 24 da Lei n.º 8.666, de 21 de junho de 1993, e suas alterações.</w:t>
      </w:r>
    </w:p>
    <w:p w14:paraId="1C58675F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8º O reembolso da despesa não implica manifestação da Casa quanto à observância de normas eleitorais, nem quanto à tipicidade ou ilicitude.</w:t>
      </w:r>
    </w:p>
    <w:p w14:paraId="06825D2A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9º A apresentação da documentação comprobatória do gasto disciplinado por este Ato dar-se-á no prazo máximo de 90 (noventa) dias após o fornecimento do produto ou serviço.</w:t>
      </w:r>
    </w:p>
    <w:p w14:paraId="523CC9D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10. Não se admitirá a utilização da verba para ressarcimento de despesas relativas a bens fornecidos ou serviços prestados por empresa ou entidade da qual o proprietário ou detentor de qualquer participação seja Parlamentar ou parente seu até o terceiro grau.</w:t>
      </w:r>
    </w:p>
    <w:p w14:paraId="0117C55A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07FAC06D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Art. 5º</w:t>
      </w:r>
      <w:r>
        <w:rPr>
          <w:rFonts w:eastAsia="Calibri"/>
          <w:sz w:val="24"/>
          <w:szCs w:val="24"/>
        </w:rPr>
        <w:t>. As despesas com telefonia a que se refere o inciso IV, do art. 2º, compreendem o reembolso de contas telefônicas de comprovada responsabilidade do Parlamentar e os gastos com as linhas de celulares.</w:t>
      </w:r>
    </w:p>
    <w:p w14:paraId="39B4C7F4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1º São passíveis de reembolso os gastos discriminados na conta telefônica correspondentes a serviços de telefonia e de apoio à comunicação em geral, incluindo aqueles relacionados ao acesso à internet, bem como locação e instalação de equipamentos destinados à comunicação de dados ou voz.</w:t>
      </w:r>
    </w:p>
    <w:p w14:paraId="67679D03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2º A comprovação das despesas de telefonia, para fins de reembolso, dar-se-á por meio da folha de rosto da conta telefônica original, acompanhada da prova de quitação.</w:t>
      </w:r>
    </w:p>
    <w:p w14:paraId="0CFF7B9F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3º Em caso de extravio da conta telefônica original, admite-se a apresentação da segunda via emitida pela operadora de telefonia, acompanhada por declaração de extravio firmada pelo Vereador e de prova de quitação da despesa.</w:t>
      </w:r>
    </w:p>
    <w:p w14:paraId="40363C1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4º O reembolso de contas concernentes a telefone alugado ou cedido ao Parlamentar condiciona-se ao cadastramento prévio da linha junto ao Departamento Financeiro e de Contabilidade, mediante apresentação de cópia autenticada do contrato de locação, termo de cessão ou instrumento equivalente. Nessa hipótese, admite-se a apresentação, para reembolso, de contas em nome do titular da linha.</w:t>
      </w:r>
    </w:p>
    <w:p w14:paraId="7BABC9BE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08676F3E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6º.</w:t>
      </w:r>
      <w:r>
        <w:rPr>
          <w:rFonts w:eastAsia="Calibri"/>
          <w:sz w:val="24"/>
          <w:szCs w:val="24"/>
        </w:rPr>
        <w:t xml:space="preserve"> Os contratos de locação de bens móveis não poderão conter cláusulas que admitam a possibilidade de aquisição do bem mediante utilização da verba de que trata este Ato, bem como não poderá ser utilizada a modalidade de “leasing”. </w:t>
      </w:r>
    </w:p>
    <w:p w14:paraId="032362B0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Parágrafo único. A locação de automóvel, com ou sem o fornecimento do serviço de motorista, só poderá ser prestado por empresa especializada, observada a vigência do mandato e vedado em período eleitoral.</w:t>
      </w:r>
    </w:p>
    <w:p w14:paraId="7F8DA026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7745C412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7º.</w:t>
      </w:r>
      <w:r>
        <w:rPr>
          <w:rFonts w:eastAsia="Calibri"/>
          <w:sz w:val="24"/>
          <w:szCs w:val="24"/>
        </w:rPr>
        <w:t xml:space="preserve"> A verba do Parlamentar que entra no exercício do mandato, ou dele se afasta, é calculada proporcionalmente ao período de efetivo exercício no mês, computando-se o dia de assunção ou reassunção e o de afastamento.</w:t>
      </w:r>
    </w:p>
    <w:p w14:paraId="4A7FD77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1º Ocorrendo assunção ou reassunção ao mandato na mesma data em que se afasta o ocupante da vaga, tem preferência na percepção da parcela da verba relativa àquele dia o parlamentar que registra presença na forma do Regimento Interno. Se ambos os Vereadores ou nenhum deles registrarem presença, ou ainda, se houver sessão ordinária naquele dia, atribui-se a parcela da verba ao titular do mandato ou, quando se tratar de sucessão de suplentes, ao de maior ascendência na ordem de suplência.</w:t>
      </w:r>
    </w:p>
    <w:p w14:paraId="25797328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2º Ressalvados os casos em que haja convocação de suplentes, não sofrerá redução ou suspensão da verba o Vereador licenciado pelos motivos previstos no Regimento Interno.</w:t>
      </w:r>
    </w:p>
    <w:p w14:paraId="3F437C3B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1B01ADD7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8º.</w:t>
      </w:r>
      <w:r>
        <w:rPr>
          <w:rFonts w:eastAsia="Calibri"/>
          <w:sz w:val="24"/>
          <w:szCs w:val="24"/>
        </w:rPr>
        <w:t xml:space="preserve"> O direito à utilização da verba se restringe ao período de efetivo exercício do mandato, incluindo o dia de assunção ou reassunção e o do afastamento.</w:t>
      </w:r>
    </w:p>
    <w:p w14:paraId="2A76D2BF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Parágrafo único. Para os fins deste artigo, consideram-se com o de efetivo exercício os períodos de licença mencionados no §2º do art. 7º, desde que não haja convocação de suplente.</w:t>
      </w:r>
    </w:p>
    <w:p w14:paraId="2B7FA15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5A5E1432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Art. 9º.</w:t>
      </w:r>
      <w:r>
        <w:rPr>
          <w:rFonts w:eastAsia="Calibri"/>
          <w:sz w:val="24"/>
          <w:szCs w:val="24"/>
        </w:rPr>
        <w:t xml:space="preserve"> O saldo da verba não utilizado acumula-se ao longo do exercício financeiro, vedada a acumulação de saldo de um exercício para o seguinte.</w:t>
      </w:r>
    </w:p>
    <w:p w14:paraId="6639B0D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1º Os recursos somente poderão ser utilizados para despesas de competência do respectivo exercício financeiro.</w:t>
      </w:r>
    </w:p>
    <w:p w14:paraId="4E41C015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2º A importância que exceder, no exercício financeiro, o saldo da verba disponível será deduzida automaticamente e integralmente da remuneração do Parlamentar.</w:t>
      </w:r>
    </w:p>
    <w:p w14:paraId="4B72C443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0CE027FE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10.</w:t>
      </w:r>
      <w:r>
        <w:rPr>
          <w:rFonts w:eastAsia="Calibri"/>
          <w:sz w:val="24"/>
          <w:szCs w:val="24"/>
        </w:rPr>
        <w:t xml:space="preserve"> A verba não poderá ser antecipada, transferida de um beneficiário para outro, ou associada, ainda que parcialmente, a outros benefícios, verbas ou cotas.</w:t>
      </w:r>
    </w:p>
    <w:p w14:paraId="0E6AF319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37FCC5E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11.</w:t>
      </w:r>
      <w:r>
        <w:rPr>
          <w:rFonts w:eastAsia="Calibri"/>
          <w:sz w:val="24"/>
          <w:szCs w:val="24"/>
        </w:rPr>
        <w:t xml:space="preserve"> A solicitação de reembolso a que se refere o art. 4º será efetuada junto ao Departamento Financeiro e de Contabilidade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- MS, a quem caberá promover as verificações, conferências, glosas e outras providências correlatas necessárias ao processamento da documentação comprobatória das despesas para fins de ressarcimento.</w:t>
      </w:r>
    </w:p>
    <w:p w14:paraId="7741BF47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 – verificado o cumprimento das regras para reembolso estabelecidas neste ato, o Departamento Financeiro e de Contabilidade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- MS atestará a regularidade do requerimento e o encaminhará ao Secretário Geral, que determinará o reembolso;</w:t>
      </w:r>
    </w:p>
    <w:p w14:paraId="3054111D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 – caso o requerimento de reembolso não esteja de acordo com as regras estabelecidas neste ato, o Departamento Financeiro e de Contabilidade solicitará providências para sanar eventual irregularidade.</w:t>
      </w:r>
    </w:p>
    <w:p w14:paraId="24214500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1º Independentemente do prazo estabelecido no §9º, do art. 4, caso o Parlamentar fique por até 60 (sessenta) dias sem apresentar os documentos comprobatórios dos gastos disciplinados por este Ato, ocorrerá a suspensão imediata do repasse da verba indenizatória prevista no art. 2º para o mês subsequente.</w:t>
      </w:r>
    </w:p>
    <w:p w14:paraId="2B60E512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2º A suspensão a que se refere o parágrafo anterior perdurará enquanto não ocorrer a apresentação dos documentos que comprovem os gastos disciplinados por este ato.</w:t>
      </w:r>
    </w:p>
    <w:p w14:paraId="3F40B5B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§ 3º O Departamento Financeiro e de Contabilidade fiscalizará os gastos apenas no que diz respeito à regularidade fiscal e contábil da documentação comprobatória, cabendo exclusivamente ao Parlamentar responsabilizar-se pela compatibilidade do objeto do gasto com a legislação, fato que o mesmo atestará expressamente mediante declaração escrita.</w:t>
      </w:r>
    </w:p>
    <w:p w14:paraId="325AA3C6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14:paraId="3088D11A" w14:textId="7C1AFCA1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12.</w:t>
      </w:r>
      <w:r>
        <w:rPr>
          <w:rFonts w:eastAsia="Calibri"/>
          <w:sz w:val="24"/>
          <w:szCs w:val="24"/>
        </w:rPr>
        <w:t xml:space="preserve"> Não serão permitidos, em nenhuma hipótese, gastos de caráter eleitoral.</w:t>
      </w:r>
    </w:p>
    <w:p w14:paraId="0BCAAA31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78EFC1CF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13.</w:t>
      </w:r>
      <w:r>
        <w:rPr>
          <w:rFonts w:eastAsia="Calibri"/>
          <w:sz w:val="24"/>
          <w:szCs w:val="24"/>
        </w:rPr>
        <w:t xml:space="preserve"> A utilização da verba indenizatória será publicada no Portal Transparência da Câmara Municipal de </w:t>
      </w:r>
      <w:proofErr w:type="spellStart"/>
      <w:r>
        <w:rPr>
          <w:rFonts w:eastAsia="Calibri"/>
          <w:sz w:val="24"/>
          <w:szCs w:val="24"/>
        </w:rPr>
        <w:t>Jaraguari</w:t>
      </w:r>
      <w:proofErr w:type="spellEnd"/>
      <w:r>
        <w:rPr>
          <w:rFonts w:eastAsia="Calibri"/>
          <w:sz w:val="24"/>
          <w:szCs w:val="24"/>
        </w:rPr>
        <w:t xml:space="preserve"> – MS na Internet.</w:t>
      </w:r>
    </w:p>
    <w:p w14:paraId="20EB2241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</w:p>
    <w:p w14:paraId="778DDB6C" w14:textId="77777777" w:rsidR="00AB0F1C" w:rsidRDefault="00AB0F1C" w:rsidP="00AB0F1C">
      <w:pPr>
        <w:shd w:val="clear" w:color="auto" w:fill="FFFFFF"/>
        <w:ind w:firstLine="1701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Art. 14.</w:t>
      </w:r>
      <w:r>
        <w:rPr>
          <w:rFonts w:eastAsia="Calibri"/>
          <w:sz w:val="24"/>
          <w:szCs w:val="24"/>
        </w:rPr>
        <w:t xml:space="preserve"> Este ato entra em vigor na data de sua publicação, produzindo seus efeitos a partir de</w:t>
      </w:r>
      <w:r>
        <w:rPr>
          <w:rFonts w:eastAsia="Calibri"/>
          <w:color w:val="FF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1º de janeiro de 2022, revogando-se todas as disposições em contrário.</w:t>
      </w:r>
    </w:p>
    <w:p w14:paraId="624A45D2" w14:textId="77777777" w:rsidR="00891E87" w:rsidRPr="00B70CD2" w:rsidRDefault="00891E87" w:rsidP="00891E87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14:paraId="56656A9F" w14:textId="77777777" w:rsidR="00B05983" w:rsidRPr="00B70CD2" w:rsidRDefault="00E4504C" w:rsidP="00743182">
      <w:pPr>
        <w:spacing w:line="276" w:lineRule="auto"/>
        <w:ind w:firstLine="1134"/>
        <w:contextualSpacing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Sala das Sessões, </w:t>
      </w:r>
      <w:r w:rsidR="001B3B13">
        <w:rPr>
          <w:rFonts w:eastAsia="Calibri"/>
          <w:bCs/>
          <w:sz w:val="24"/>
          <w:szCs w:val="24"/>
        </w:rPr>
        <w:t>27 de outubro</w:t>
      </w:r>
      <w:r>
        <w:rPr>
          <w:rFonts w:eastAsia="Calibri"/>
          <w:bCs/>
          <w:sz w:val="24"/>
          <w:szCs w:val="24"/>
        </w:rPr>
        <w:t xml:space="preserve"> de 2021.</w:t>
      </w:r>
    </w:p>
    <w:p w14:paraId="0BB82DBB" w14:textId="77777777" w:rsidR="00001B93" w:rsidRPr="00B70CD2" w:rsidRDefault="00001B93" w:rsidP="00075788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14:paraId="1770A48B" w14:textId="77777777" w:rsidR="00743182" w:rsidRDefault="00743182" w:rsidP="005C0C98">
      <w:pPr>
        <w:contextualSpacing/>
        <w:jc w:val="center"/>
        <w:rPr>
          <w:rFonts w:eastAsia="Calibri"/>
          <w:b/>
          <w:sz w:val="24"/>
          <w:szCs w:val="24"/>
        </w:rPr>
      </w:pPr>
    </w:p>
    <w:p w14:paraId="57651933" w14:textId="77777777" w:rsidR="00044E3C" w:rsidRPr="00B70CD2" w:rsidRDefault="00E4504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VERº. CLÁUDIO FERREIRA DA SILVA - PSD</w:t>
      </w:r>
    </w:p>
    <w:p w14:paraId="5C8495EA" w14:textId="77777777" w:rsidR="00044E3C" w:rsidRPr="00B70CD2" w:rsidRDefault="00E4504C" w:rsidP="005C0C98">
      <w:pPr>
        <w:contextualSpacing/>
        <w:jc w:val="center"/>
        <w:rPr>
          <w:rFonts w:eastAsia="Calibri"/>
          <w:b/>
          <w:sz w:val="24"/>
          <w:szCs w:val="24"/>
        </w:rPr>
      </w:pPr>
      <w:r w:rsidRPr="00B70CD2">
        <w:rPr>
          <w:rFonts w:eastAsia="Calibri"/>
          <w:b/>
          <w:sz w:val="24"/>
          <w:szCs w:val="24"/>
        </w:rPr>
        <w:t>Presidente</w:t>
      </w: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4F2E" w14:textId="77777777" w:rsidR="00E4504C" w:rsidRDefault="00E4504C">
      <w:r>
        <w:separator/>
      </w:r>
    </w:p>
  </w:endnote>
  <w:endnote w:type="continuationSeparator" w:id="0">
    <w:p w14:paraId="28AB603A" w14:textId="77777777" w:rsidR="00E4504C" w:rsidRDefault="00E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5DA1" w14:textId="77777777" w:rsidR="00F506EC" w:rsidRPr="00635F0D" w:rsidRDefault="00E4504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3C54B40B" w14:textId="77777777" w:rsidR="00DA74D3" w:rsidRPr="00635F0D" w:rsidRDefault="00E4504C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9513" w14:textId="77777777" w:rsidR="00E4504C" w:rsidRDefault="00E4504C">
      <w:r>
        <w:separator/>
      </w:r>
    </w:p>
  </w:footnote>
  <w:footnote w:type="continuationSeparator" w:id="0">
    <w:p w14:paraId="491CB287" w14:textId="77777777" w:rsidR="00E4504C" w:rsidRDefault="00E4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41BE" w14:textId="77777777" w:rsidR="00B577A6" w:rsidRDefault="00E4504C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9DAC2E1" wp14:editId="2872F30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D87C89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2D2786BA" w14:textId="77777777" w:rsidR="00B577A6" w:rsidRPr="00EA57F6" w:rsidRDefault="00E4504C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0684BAF" w14:textId="77777777" w:rsidR="00B577A6" w:rsidRPr="00EA57F6" w:rsidRDefault="00E4504C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1C2C68AB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EACC0A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514D55C" w:tentative="1">
      <w:start w:val="1"/>
      <w:numFmt w:val="lowerLetter"/>
      <w:lvlText w:val="%2."/>
      <w:lvlJc w:val="left"/>
      <w:pPr>
        <w:ind w:left="1440" w:hanging="360"/>
      </w:pPr>
    </w:lvl>
    <w:lvl w:ilvl="2" w:tplc="C9788A30" w:tentative="1">
      <w:start w:val="1"/>
      <w:numFmt w:val="lowerRoman"/>
      <w:lvlText w:val="%3."/>
      <w:lvlJc w:val="right"/>
      <w:pPr>
        <w:ind w:left="2160" w:hanging="180"/>
      </w:pPr>
    </w:lvl>
    <w:lvl w:ilvl="3" w:tplc="D19CEF86" w:tentative="1">
      <w:start w:val="1"/>
      <w:numFmt w:val="decimal"/>
      <w:lvlText w:val="%4."/>
      <w:lvlJc w:val="left"/>
      <w:pPr>
        <w:ind w:left="2880" w:hanging="360"/>
      </w:pPr>
    </w:lvl>
    <w:lvl w:ilvl="4" w:tplc="74A2CF7C" w:tentative="1">
      <w:start w:val="1"/>
      <w:numFmt w:val="lowerLetter"/>
      <w:lvlText w:val="%5."/>
      <w:lvlJc w:val="left"/>
      <w:pPr>
        <w:ind w:left="3600" w:hanging="360"/>
      </w:pPr>
    </w:lvl>
    <w:lvl w:ilvl="5" w:tplc="7EC01D46" w:tentative="1">
      <w:start w:val="1"/>
      <w:numFmt w:val="lowerRoman"/>
      <w:lvlText w:val="%6."/>
      <w:lvlJc w:val="right"/>
      <w:pPr>
        <w:ind w:left="4320" w:hanging="180"/>
      </w:pPr>
    </w:lvl>
    <w:lvl w:ilvl="6" w:tplc="8ECA7E0C" w:tentative="1">
      <w:start w:val="1"/>
      <w:numFmt w:val="decimal"/>
      <w:lvlText w:val="%7."/>
      <w:lvlJc w:val="left"/>
      <w:pPr>
        <w:ind w:left="5040" w:hanging="360"/>
      </w:pPr>
    </w:lvl>
    <w:lvl w:ilvl="7" w:tplc="18525576" w:tentative="1">
      <w:start w:val="1"/>
      <w:numFmt w:val="lowerLetter"/>
      <w:lvlText w:val="%8."/>
      <w:lvlJc w:val="left"/>
      <w:pPr>
        <w:ind w:left="5760" w:hanging="360"/>
      </w:pPr>
    </w:lvl>
    <w:lvl w:ilvl="8" w:tplc="E85E1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CCCDE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2E49BC" w:tentative="1">
      <w:start w:val="1"/>
      <w:numFmt w:val="lowerLetter"/>
      <w:lvlText w:val="%2."/>
      <w:lvlJc w:val="left"/>
      <w:pPr>
        <w:ind w:left="4135" w:hanging="360"/>
      </w:pPr>
    </w:lvl>
    <w:lvl w:ilvl="2" w:tplc="12E68148" w:tentative="1">
      <w:start w:val="1"/>
      <w:numFmt w:val="lowerRoman"/>
      <w:lvlText w:val="%3."/>
      <w:lvlJc w:val="right"/>
      <w:pPr>
        <w:ind w:left="4855" w:hanging="180"/>
      </w:pPr>
    </w:lvl>
    <w:lvl w:ilvl="3" w:tplc="3C5CED8C" w:tentative="1">
      <w:start w:val="1"/>
      <w:numFmt w:val="decimal"/>
      <w:lvlText w:val="%4."/>
      <w:lvlJc w:val="left"/>
      <w:pPr>
        <w:ind w:left="5575" w:hanging="360"/>
      </w:pPr>
    </w:lvl>
    <w:lvl w:ilvl="4" w:tplc="CAF24F36" w:tentative="1">
      <w:start w:val="1"/>
      <w:numFmt w:val="lowerLetter"/>
      <w:lvlText w:val="%5."/>
      <w:lvlJc w:val="left"/>
      <w:pPr>
        <w:ind w:left="6295" w:hanging="360"/>
      </w:pPr>
    </w:lvl>
    <w:lvl w:ilvl="5" w:tplc="4AB21CD0" w:tentative="1">
      <w:start w:val="1"/>
      <w:numFmt w:val="lowerRoman"/>
      <w:lvlText w:val="%6."/>
      <w:lvlJc w:val="right"/>
      <w:pPr>
        <w:ind w:left="7015" w:hanging="180"/>
      </w:pPr>
    </w:lvl>
    <w:lvl w:ilvl="6" w:tplc="CB9CA2A6" w:tentative="1">
      <w:start w:val="1"/>
      <w:numFmt w:val="decimal"/>
      <w:lvlText w:val="%7."/>
      <w:lvlJc w:val="left"/>
      <w:pPr>
        <w:ind w:left="7735" w:hanging="360"/>
      </w:pPr>
    </w:lvl>
    <w:lvl w:ilvl="7" w:tplc="30F812AC" w:tentative="1">
      <w:start w:val="1"/>
      <w:numFmt w:val="lowerLetter"/>
      <w:lvlText w:val="%8."/>
      <w:lvlJc w:val="left"/>
      <w:pPr>
        <w:ind w:left="8455" w:hanging="360"/>
      </w:pPr>
    </w:lvl>
    <w:lvl w:ilvl="8" w:tplc="B5ECB8D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5380D"/>
    <w:rsid w:val="00160A2A"/>
    <w:rsid w:val="001701D9"/>
    <w:rsid w:val="001921F5"/>
    <w:rsid w:val="001A4A11"/>
    <w:rsid w:val="001A5F3E"/>
    <w:rsid w:val="001B167C"/>
    <w:rsid w:val="001B3B13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43182"/>
    <w:rsid w:val="00754A2F"/>
    <w:rsid w:val="00762DAF"/>
    <w:rsid w:val="00774A55"/>
    <w:rsid w:val="007C5D9D"/>
    <w:rsid w:val="008144BF"/>
    <w:rsid w:val="00837902"/>
    <w:rsid w:val="00837F1B"/>
    <w:rsid w:val="00891E87"/>
    <w:rsid w:val="0092207D"/>
    <w:rsid w:val="00927881"/>
    <w:rsid w:val="009A145D"/>
    <w:rsid w:val="009C323A"/>
    <w:rsid w:val="00A11484"/>
    <w:rsid w:val="00A4580A"/>
    <w:rsid w:val="00A717C0"/>
    <w:rsid w:val="00A805F9"/>
    <w:rsid w:val="00AA1B3B"/>
    <w:rsid w:val="00AB0F1C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562EF"/>
    <w:rsid w:val="00C837EF"/>
    <w:rsid w:val="00CB3C6C"/>
    <w:rsid w:val="00CC7297"/>
    <w:rsid w:val="00D0792C"/>
    <w:rsid w:val="00D24BCE"/>
    <w:rsid w:val="00D330AC"/>
    <w:rsid w:val="00D45EC8"/>
    <w:rsid w:val="00D759D2"/>
    <w:rsid w:val="00D87C07"/>
    <w:rsid w:val="00DA67CA"/>
    <w:rsid w:val="00DA74D3"/>
    <w:rsid w:val="00DE7B47"/>
    <w:rsid w:val="00E27942"/>
    <w:rsid w:val="00E424E0"/>
    <w:rsid w:val="00E4504C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3BF1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1777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6</cp:revision>
  <cp:lastPrinted>2021-10-27T11:30:00Z</cp:lastPrinted>
  <dcterms:created xsi:type="dcterms:W3CDTF">2021-06-10T11:10:00Z</dcterms:created>
  <dcterms:modified xsi:type="dcterms:W3CDTF">2021-10-27T11:36:00Z</dcterms:modified>
</cp:coreProperties>
</file>