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255725" w:rsidRPr="00A902DD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902DD" w:rsidRDefault="00297EED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902DD" w:rsidRDefault="00297EED" w:rsidP="00687E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9E4566"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  <w:r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750EC"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5725" w:rsidRPr="00A902DD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902DD" w:rsidRDefault="00297EED" w:rsidP="009E45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E4566"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>MESA DIRETORA</w:t>
            </w:r>
            <w:r w:rsidR="00A9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CÂMARA MUNICIPAL DE JARAGUARI-MS</w:t>
            </w:r>
          </w:p>
        </w:tc>
      </w:tr>
    </w:tbl>
    <w:p w:rsidR="00AE2CD5" w:rsidRPr="00A902DD" w:rsidRDefault="00AE2CD5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A902DD" w:rsidRDefault="00297EED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02DD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902DD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902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4566" w:rsidRPr="00A902DD">
        <w:rPr>
          <w:rFonts w:ascii="Times New Roman" w:hAnsi="Times New Roman" w:cs="Times New Roman"/>
          <w:b/>
          <w:sz w:val="24"/>
          <w:szCs w:val="24"/>
        </w:rPr>
        <w:t>254</w:t>
      </w:r>
      <w:r w:rsidRPr="00A902DD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9E4566" w:rsidRPr="00A902DD">
        <w:rPr>
          <w:rFonts w:ascii="Times New Roman" w:hAnsi="Times New Roman" w:cs="Times New Roman"/>
          <w:b/>
          <w:sz w:val="24"/>
          <w:szCs w:val="24"/>
        </w:rPr>
        <w:t>24</w:t>
      </w:r>
      <w:r w:rsidRPr="00A902DD">
        <w:rPr>
          <w:rFonts w:ascii="Times New Roman" w:hAnsi="Times New Roman" w:cs="Times New Roman"/>
          <w:b/>
          <w:sz w:val="24"/>
          <w:szCs w:val="24"/>
        </w:rPr>
        <w:t xml:space="preserve">    DE   </w:t>
      </w:r>
      <w:r w:rsidRPr="00A902DD">
        <w:rPr>
          <w:rFonts w:ascii="Times New Roman" w:hAnsi="Times New Roman" w:cs="Times New Roman"/>
          <w:b/>
          <w:sz w:val="24"/>
          <w:szCs w:val="24"/>
        </w:rPr>
        <w:tab/>
      </w:r>
      <w:r w:rsidR="009E4566" w:rsidRPr="00A902DD">
        <w:rPr>
          <w:rFonts w:ascii="Times New Roman" w:hAnsi="Times New Roman" w:cs="Times New Roman"/>
          <w:b/>
          <w:sz w:val="24"/>
          <w:szCs w:val="24"/>
        </w:rPr>
        <w:t>MAIO</w:t>
      </w:r>
      <w:r w:rsidRPr="00A902DD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902DD">
        <w:rPr>
          <w:rFonts w:ascii="Times New Roman" w:hAnsi="Times New Roman" w:cs="Times New Roman"/>
          <w:b/>
          <w:sz w:val="24"/>
          <w:szCs w:val="24"/>
        </w:rPr>
        <w:t>2</w:t>
      </w:r>
      <w:r w:rsidR="007750EC" w:rsidRPr="00A902DD">
        <w:rPr>
          <w:rFonts w:ascii="Times New Roman" w:hAnsi="Times New Roman" w:cs="Times New Roman"/>
          <w:b/>
          <w:sz w:val="24"/>
          <w:szCs w:val="24"/>
        </w:rPr>
        <w:t>4</w:t>
      </w:r>
      <w:r w:rsidRPr="00A902DD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A902DD" w:rsidRDefault="0036288B" w:rsidP="00687E2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50EC" w:rsidRPr="00A902DD" w:rsidRDefault="00297EED" w:rsidP="009E4566">
      <w:pPr>
        <w:spacing w:after="0" w:line="276" w:lineRule="auto"/>
        <w:ind w:left="4253" w:right="-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02D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9E4566" w:rsidRPr="00A902DD">
        <w:rPr>
          <w:rFonts w:ascii="Times New Roman" w:hAnsi="Times New Roman" w:cs="Times New Roman"/>
          <w:b/>
          <w:bCs/>
          <w:i/>
          <w:sz w:val="24"/>
          <w:szCs w:val="24"/>
        </w:rPr>
        <w:t>FIXA OS SUBSÍDIOS DO PREFEITO, DO VICE-PREFEITO E DOS SECRETÁRIOS MUNICIPAIS DO MUNICÍPIO DE JARAGUARI</w:t>
      </w:r>
      <w:r w:rsidR="00A902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 DÁ OUTRAS PROVIDÊNCIAS</w:t>
      </w:r>
      <w:r w:rsidRPr="00A902DD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36288B" w:rsidRPr="00A902DD" w:rsidRDefault="0036288B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36288B" w:rsidRPr="00A902DD" w:rsidRDefault="00297EED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 xml:space="preserve">A </w:t>
      </w:r>
      <w:r w:rsidR="002777CA" w:rsidRPr="00A902DD">
        <w:rPr>
          <w:rFonts w:ascii="Times New Roman" w:hAnsi="Times New Roman" w:cs="Times New Roman"/>
          <w:sz w:val="24"/>
          <w:szCs w:val="24"/>
        </w:rPr>
        <w:t xml:space="preserve">Mesa Diretora da </w:t>
      </w:r>
      <w:r w:rsidRPr="00A902DD">
        <w:rPr>
          <w:rFonts w:ascii="Times New Roman" w:hAnsi="Times New Roman" w:cs="Times New Roman"/>
          <w:sz w:val="24"/>
          <w:szCs w:val="24"/>
        </w:rPr>
        <w:t xml:space="preserve">Câmara Municipal de </w:t>
      </w:r>
      <w:proofErr w:type="spellStart"/>
      <w:r w:rsidRPr="00A902DD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A902DD">
        <w:rPr>
          <w:rFonts w:ascii="Times New Roman" w:hAnsi="Times New Roman" w:cs="Times New Roman"/>
          <w:sz w:val="24"/>
          <w:szCs w:val="24"/>
        </w:rPr>
        <w:t xml:space="preserve">, Estado de Mato Grosso do </w:t>
      </w:r>
      <w:r w:rsidR="002777CA" w:rsidRPr="00A902DD">
        <w:rPr>
          <w:rFonts w:ascii="Times New Roman" w:hAnsi="Times New Roman" w:cs="Times New Roman"/>
          <w:sz w:val="24"/>
          <w:szCs w:val="24"/>
        </w:rPr>
        <w:t xml:space="preserve">Sul, no uso de suas atribuições </w:t>
      </w:r>
      <w:r w:rsidR="002777CA" w:rsidRPr="00A902DD">
        <w:rPr>
          <w:rFonts w:ascii="Times New Roman" w:hAnsi="Times New Roman" w:cs="Times New Roman"/>
          <w:bCs/>
          <w:sz w:val="24"/>
          <w:szCs w:val="24"/>
        </w:rPr>
        <w:t>e com fulcro no art. 137, § 1º, inciso III do Regimento Interno desta Casa de</w:t>
      </w:r>
      <w:r w:rsidR="002777CA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7CA" w:rsidRPr="00A902DD">
        <w:rPr>
          <w:rFonts w:ascii="Times New Roman" w:hAnsi="Times New Roman" w:cs="Times New Roman"/>
          <w:bCs/>
          <w:sz w:val="24"/>
          <w:szCs w:val="24"/>
        </w:rPr>
        <w:t>Leis e art. 15, inciso VII da Lei Orgânica do Município</w:t>
      </w:r>
      <w:r w:rsidRPr="00A902DD">
        <w:rPr>
          <w:rFonts w:ascii="Times New Roman" w:hAnsi="Times New Roman" w:cs="Times New Roman"/>
          <w:sz w:val="24"/>
          <w:szCs w:val="24"/>
        </w:rPr>
        <w:t xml:space="preserve"> </w:t>
      </w:r>
      <w:r w:rsidR="00C27574" w:rsidRPr="00A902DD">
        <w:rPr>
          <w:rFonts w:ascii="Times New Roman" w:hAnsi="Times New Roman" w:cs="Times New Roman"/>
          <w:sz w:val="24"/>
          <w:szCs w:val="24"/>
        </w:rPr>
        <w:t>Decreta:</w:t>
      </w:r>
    </w:p>
    <w:p w:rsidR="00AE5244" w:rsidRPr="00A902DD" w:rsidRDefault="00AE5244" w:rsidP="00AE524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1º – Por meio desta Lei fixa-se respectivamente, para o período compreendido entre 1º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de janeiro de 2025 a 31 de dezembro de 2028, ao Prefeito, ao Vice-prefeito e aos Secretários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Municipais do Município de </w:t>
      </w:r>
      <w:proofErr w:type="spellStart"/>
      <w:r w:rsidRPr="00A902DD">
        <w:rPr>
          <w:rFonts w:ascii="Times New Roman" w:hAnsi="Times New Roman" w:cs="Times New Roman"/>
          <w:bCs/>
          <w:sz w:val="24"/>
          <w:szCs w:val="24"/>
        </w:rPr>
        <w:t>Jaraguari</w:t>
      </w:r>
      <w:proofErr w:type="spellEnd"/>
      <w:r w:rsidRPr="00A902DD">
        <w:rPr>
          <w:rFonts w:ascii="Times New Roman" w:hAnsi="Times New Roman" w:cs="Times New Roman"/>
          <w:bCs/>
          <w:sz w:val="24"/>
          <w:szCs w:val="24"/>
        </w:rPr>
        <w:t xml:space="preserve"> o subsídio mensal no valor de:</w:t>
      </w:r>
    </w:p>
    <w:p w:rsidR="00A902DD" w:rsidRDefault="00A902DD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 xml:space="preserve">a. Prefeito em R$ 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>16.900,00 (dezesseis mil e novecentos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 reais);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 xml:space="preserve">b. Vice-Prefeito R$ 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>10.700,00 (dez mil e setecentos reais</w:t>
      </w:r>
      <w:r w:rsidRPr="00A902DD">
        <w:rPr>
          <w:rFonts w:ascii="Times New Roman" w:hAnsi="Times New Roman" w:cs="Times New Roman"/>
          <w:bCs/>
          <w:sz w:val="24"/>
          <w:szCs w:val="24"/>
        </w:rPr>
        <w:t>);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 xml:space="preserve">c. Secretário Municipal R$ 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>7.200,00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(sete mil e duzentos </w:t>
      </w:r>
      <w:r w:rsidRPr="00A902DD">
        <w:rPr>
          <w:rFonts w:ascii="Times New Roman" w:hAnsi="Times New Roman" w:cs="Times New Roman"/>
          <w:bCs/>
          <w:sz w:val="24"/>
          <w:szCs w:val="24"/>
        </w:rPr>
        <w:t>reais);</w:t>
      </w:r>
    </w:p>
    <w:p w:rsidR="00A902DD" w:rsidRPr="00A902DD" w:rsidRDefault="00A902DD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2º – Os subsídios terão sua expressão monetária revisada anualmente, considerando os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mesmos índices e as mesmas datas observadas para os reajustes da remuneração dos servidores do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Município.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3º – O valor fixado no artigo anterior somente poderá ser alterado por lei específica,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de iniciativa da Câmara Municipal, assegurada a revisão geral anual, sempre na mesma data e nos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mesmos índices em que ocorrer a dos demais servidores do Município.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lastRenderedPageBreak/>
        <w:t>Art. 4º – Aplicam-se a esses agentes político-administrativos, no que couber, as normas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estatutárias, especialmente o direito a férias e a 13º remuneração nas mesmas condições em que estas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vantagens forem pagas aos servidores, excetuadas as relativas à seguridade social.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5º – No caso de licença por doença devidamente comprovada, signatários desta lei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perceberão os seus subsídios de acordo com a legislação previdenciária.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6º – Os subsídios deverão ser pagos na mesma data em que houver o pagamento de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salários dos servidores do Município.</w:t>
      </w: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7º – Em caso de viagem para fora do Município, a serviço ou representação do</w:t>
      </w:r>
    </w:p>
    <w:p w:rsidR="009E4566" w:rsidRPr="00A902DD" w:rsidRDefault="009E4566" w:rsidP="00A902DD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Município, os signatários desta lei perceberão as diárias estabelecidas em norma específica.</w:t>
      </w:r>
    </w:p>
    <w:p w:rsidR="009E4566" w:rsidRPr="00A902DD" w:rsidRDefault="009E4566" w:rsidP="00A902DD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8º – As despesas decorrentes desta Lei correrão por conta de dotações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orçamentárias próprias.</w:t>
      </w:r>
    </w:p>
    <w:p w:rsidR="00A902DD" w:rsidRPr="00A902DD" w:rsidRDefault="00A902DD" w:rsidP="002777CA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Art. 9º – Esta Lei entrará em vigor na data de sua publicação, com seus efeitos sendo</w:t>
      </w:r>
      <w:r w:rsidR="00A902DD" w:rsidRP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gerados a partir de 1º de janeiro de 2025.</w:t>
      </w:r>
    </w:p>
    <w:p w:rsidR="00A902DD" w:rsidRPr="00A902DD" w:rsidRDefault="00A902DD" w:rsidP="00A902DD">
      <w:pPr>
        <w:spacing w:after="0" w:line="276" w:lineRule="auto"/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A902DD" w:rsidP="00A902DD">
      <w:pPr>
        <w:spacing w:after="0" w:line="276" w:lineRule="auto"/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02DD">
        <w:rPr>
          <w:rFonts w:ascii="Times New Roman" w:hAnsi="Times New Roman" w:cs="Times New Roman"/>
          <w:bCs/>
          <w:sz w:val="24"/>
          <w:szCs w:val="24"/>
        </w:rPr>
        <w:t>Jaraguari</w:t>
      </w:r>
      <w:proofErr w:type="spellEnd"/>
      <w:r w:rsidRPr="00A902DD">
        <w:rPr>
          <w:rFonts w:ascii="Times New Roman" w:hAnsi="Times New Roman" w:cs="Times New Roman"/>
          <w:bCs/>
          <w:sz w:val="24"/>
          <w:szCs w:val="24"/>
        </w:rPr>
        <w:t xml:space="preserve"> – MS, 24</w:t>
      </w:r>
      <w:r w:rsidR="009E4566" w:rsidRPr="00A902DD">
        <w:rPr>
          <w:rFonts w:ascii="Times New Roman" w:hAnsi="Times New Roman" w:cs="Times New Roman"/>
          <w:bCs/>
          <w:sz w:val="24"/>
          <w:szCs w:val="24"/>
        </w:rPr>
        <w:t xml:space="preserve"> de maio de 2024.</w:t>
      </w:r>
    </w:p>
    <w:p w:rsidR="009E4566" w:rsidRPr="00A902DD" w:rsidRDefault="009E4566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Pr="00A902DD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Pr="00A902DD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Pr="00A902DD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VERº CLAUDIO FERREIRA DA SILVA - PSDB</w:t>
      </w: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p w:rsidR="00A902DD" w:rsidRPr="00A902DD" w:rsidRDefault="00A902DD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DD" w:rsidRPr="00A902DD" w:rsidRDefault="00A902DD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DD" w:rsidRPr="00A902DD" w:rsidRDefault="00A902DD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VERº MÁRIO NOGUEIRA DE SOUZA - Republicanos</w:t>
      </w: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DD" w:rsidRPr="00A902DD" w:rsidRDefault="00A902DD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VERº ÁUREO DA SILVA VILELA- PSDB</w:t>
      </w: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1º Secretário</w:t>
      </w: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DD" w:rsidRPr="00A902DD" w:rsidRDefault="00A902DD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VERº ROSELI DE FATIMA VARELA COELHO - PSDB</w:t>
      </w:r>
    </w:p>
    <w:p w:rsidR="009E4566" w:rsidRPr="00A902DD" w:rsidRDefault="009E4566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</w:rPr>
        <w:t>2º Secretária</w:t>
      </w:r>
    </w:p>
    <w:p w:rsidR="009E4566" w:rsidRPr="00A902DD" w:rsidRDefault="009E4566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02D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JUSTIFICATIVA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Conforme determinação expressa contida no art. 15, inciso VII, §4° da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Lei Orgânica Municipal e no art. 29-A da Constituição, os subsídios do Prefeito, Vice-prefeito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Secretários Municipais devem ser fixados pela respectiva Câmara Municipal, em cada legislatura para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a subsequente, em homenagem ao princípio da anterioridade.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O subsídio, conforme entendimento dos Tribunais Superiores deve ser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fixados em parcela única, vedado o acréscimo de qualquer gratificação, adicional,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abono, prêmio, verba de representação ou outra espécie remuneratória, o qual deve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também ser fixado em valor certo, conforme dispõe incisos XI e XV do art. 100 da LOM e demais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dispositivos constitucionais.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Considerando, que o cargo de Prefeito tem natureza eletiva e a sua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responsabilidade é definida a partir da representação do Poder Executivo e do Município, tanto em</w:t>
      </w:r>
      <w:r w:rsidR="00A90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juízo como fora dele.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 complexidade de sua função é expressa nas atribuições que lhes são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afetas, conforme dispõe o art. 47 da Lei Orgânica do Município, especialmente quanto à gestão da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estrutura administrativa, gestão de pessoas e dos quadros de cargos, empregos e funções, gestão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financeira, fiscal e orçamentária, gestão e execução de serviços públicos, de forma direta ou mediante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permissão, concessão ou terceirização, gestão do atendimento das demandas sociais e da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implementação de programas para a efetivação de políticas públicas eficientes, gestão do planejamento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das ações de governo com os respectivos controles internos, gestão do repasse de recursos públicos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para organizações da sociedade civil, por meio de parcerias, observada a legislação federal pertinente à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matéria, sem prejuízo da obrigação constitucional e legal de dar transparência e pleno acesso ao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cidadão aos atos e ações da administração pública municipal.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É peculiar ao cargo de Prefeito a dedicação integral de seu titular, com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redução ou subtração integral de tempo para dedicação a sua atividade profissional de origem.</w:t>
      </w:r>
    </w:p>
    <w:p w:rsidR="003D3D66" w:rsidRDefault="003D3D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904" w:rsidRPr="00A902DD" w:rsidRDefault="009E4566" w:rsidP="00E86904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Em razão do contexto presentemente descrito e, considerando que se trata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de cargo com grau de responsabilidade de chefia de Poder, o subsídio é fixado em R$ </w:t>
      </w:r>
      <w:r w:rsidR="003D3D66">
        <w:rPr>
          <w:rFonts w:ascii="Times New Roman" w:hAnsi="Times New Roman" w:cs="Times New Roman"/>
          <w:bCs/>
          <w:sz w:val="24"/>
          <w:szCs w:val="24"/>
        </w:rPr>
        <w:t xml:space="preserve">16.900,00 </w:t>
      </w:r>
      <w:r w:rsidR="00E86904" w:rsidRPr="00A902DD">
        <w:rPr>
          <w:rFonts w:ascii="Times New Roman" w:hAnsi="Times New Roman" w:cs="Times New Roman"/>
          <w:bCs/>
          <w:sz w:val="24"/>
          <w:szCs w:val="24"/>
        </w:rPr>
        <w:t>(dezesseis mil e novecentos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reais).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A função de Vice-Prefeito, desde a Constituição Federal de 1988,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conforme prevê seu art. 79, é cargo eletivo e, além da responsabilidade de substituir o Prefeito, em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seus impedimentos legais ou ausências, deve ter atribuições definidas em lei complementar.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lastRenderedPageBreak/>
        <w:t>Essas atribuições têm grau de responsabilidade superior, podendo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transitar pelo exercício de titularidade de Secretarias, interlocução com o Poder Legislativo, responder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pela comunicação institucional do Poder Executivo, </w:t>
      </w:r>
      <w:proofErr w:type="spellStart"/>
      <w:r w:rsidRPr="00A902DD">
        <w:rPr>
          <w:rFonts w:ascii="Times New Roman" w:hAnsi="Times New Roman" w:cs="Times New Roman"/>
          <w:bCs/>
          <w:sz w:val="24"/>
          <w:szCs w:val="24"/>
        </w:rPr>
        <w:t>corresponsabilizar-se</w:t>
      </w:r>
      <w:proofErr w:type="spellEnd"/>
      <w:r w:rsidRPr="00A902DD">
        <w:rPr>
          <w:rFonts w:ascii="Times New Roman" w:hAnsi="Times New Roman" w:cs="Times New Roman"/>
          <w:bCs/>
          <w:sz w:val="24"/>
          <w:szCs w:val="24"/>
        </w:rPr>
        <w:t xml:space="preserve"> na gestão de políticas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públicas e de programas de governo e outras similares.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Não mais se admite, portanto, trabalho sazonal ou remuneração eventual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para Vice-Prefeito, mas a sua permanência na gestão pública municipal passou a ser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uma exigência constitucional, sendo-lhe assegurado, portanto, o direito à percepção de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subsídio.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904" w:rsidRPr="00A902DD" w:rsidRDefault="009E4566" w:rsidP="00E86904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Em razão deste contexto, o subsídio mensal do Vice-Prefeito é fixado em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E86904" w:rsidRPr="00A902DD">
        <w:rPr>
          <w:rFonts w:ascii="Times New Roman" w:hAnsi="Times New Roman" w:cs="Times New Roman"/>
          <w:bCs/>
          <w:sz w:val="24"/>
          <w:szCs w:val="24"/>
        </w:rPr>
        <w:t>R$ 10.700,00 (dez mil e setecentos reais</w:t>
      </w:r>
      <w:r w:rsidR="00E86904">
        <w:rPr>
          <w:rFonts w:ascii="Times New Roman" w:hAnsi="Times New Roman" w:cs="Times New Roman"/>
          <w:bCs/>
          <w:sz w:val="24"/>
          <w:szCs w:val="24"/>
        </w:rPr>
        <w:t>).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 xml:space="preserve">O titular do cargo de Secretário Municipal </w:t>
      </w:r>
      <w:proofErr w:type="spellStart"/>
      <w:r w:rsidRPr="00A902DD">
        <w:rPr>
          <w:rFonts w:ascii="Times New Roman" w:hAnsi="Times New Roman" w:cs="Times New Roman"/>
          <w:bCs/>
          <w:sz w:val="24"/>
          <w:szCs w:val="24"/>
        </w:rPr>
        <w:t>é</w:t>
      </w:r>
      <w:proofErr w:type="spellEnd"/>
      <w:r w:rsidRPr="00A902DD">
        <w:rPr>
          <w:rFonts w:ascii="Times New Roman" w:hAnsi="Times New Roman" w:cs="Times New Roman"/>
          <w:bCs/>
          <w:sz w:val="24"/>
          <w:szCs w:val="24"/>
        </w:rPr>
        <w:t xml:space="preserve"> solidariamente responsável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com o Prefeito na gestão de sua respectiva pasta, assumindo a coordenação e o controle dos atos e das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ações de gestão e de controle, posicionando-se estrategicamente como interlocutor das demandas de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sua complexidade temática junto ao Prefeito e na captação de recursos federais e estaduais,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construindo alternativas táticas para a inovação e a melhoria junto aos processos de trabalho sob a sua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>guarda.</w:t>
      </w:r>
    </w:p>
    <w:p w:rsidR="009E4566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2FC" w:rsidRPr="00A902DD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2DD">
        <w:rPr>
          <w:rFonts w:ascii="Times New Roman" w:hAnsi="Times New Roman" w:cs="Times New Roman"/>
          <w:bCs/>
          <w:sz w:val="24"/>
          <w:szCs w:val="24"/>
        </w:rPr>
        <w:t>Em razão do acima apresentado, o subsídio mensal do Secretário</w:t>
      </w:r>
      <w:r w:rsidR="00E8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bCs/>
          <w:sz w:val="24"/>
          <w:szCs w:val="24"/>
        </w:rPr>
        <w:t xml:space="preserve">Municipal é fixado em </w:t>
      </w:r>
      <w:r w:rsidR="00E86904" w:rsidRPr="00A902DD">
        <w:rPr>
          <w:rFonts w:ascii="Times New Roman" w:hAnsi="Times New Roman" w:cs="Times New Roman"/>
          <w:bCs/>
          <w:sz w:val="24"/>
          <w:szCs w:val="24"/>
        </w:rPr>
        <w:t>R$ 7.200,00 (sete mil e duzentos reais);</w:t>
      </w:r>
      <w:bookmarkStart w:id="0" w:name="_GoBack"/>
      <w:bookmarkEnd w:id="0"/>
    </w:p>
    <w:sectPr w:rsidR="006542FC" w:rsidRPr="00A902D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FE" w:rsidRDefault="00DC43FE">
      <w:pPr>
        <w:spacing w:after="0" w:line="240" w:lineRule="auto"/>
      </w:pPr>
      <w:r>
        <w:separator/>
      </w:r>
    </w:p>
  </w:endnote>
  <w:endnote w:type="continuationSeparator" w:id="0">
    <w:p w:rsidR="00DC43FE" w:rsidRDefault="00DC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297EED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297EED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FE" w:rsidRDefault="00DC43FE">
      <w:pPr>
        <w:spacing w:after="0" w:line="240" w:lineRule="auto"/>
      </w:pPr>
      <w:r>
        <w:separator/>
      </w:r>
    </w:p>
  </w:footnote>
  <w:footnote w:type="continuationSeparator" w:id="0">
    <w:p w:rsidR="00DC43FE" w:rsidRDefault="00DC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97EE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297EED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3F4F9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48A8358" w:tentative="1">
      <w:start w:val="1"/>
      <w:numFmt w:val="lowerLetter"/>
      <w:lvlText w:val="%2."/>
      <w:lvlJc w:val="left"/>
      <w:pPr>
        <w:ind w:left="1440" w:hanging="360"/>
      </w:pPr>
    </w:lvl>
    <w:lvl w:ilvl="2" w:tplc="25966090" w:tentative="1">
      <w:start w:val="1"/>
      <w:numFmt w:val="lowerRoman"/>
      <w:lvlText w:val="%3."/>
      <w:lvlJc w:val="right"/>
      <w:pPr>
        <w:ind w:left="2160" w:hanging="180"/>
      </w:pPr>
    </w:lvl>
    <w:lvl w:ilvl="3" w:tplc="E884B4CA" w:tentative="1">
      <w:start w:val="1"/>
      <w:numFmt w:val="decimal"/>
      <w:lvlText w:val="%4."/>
      <w:lvlJc w:val="left"/>
      <w:pPr>
        <w:ind w:left="2880" w:hanging="360"/>
      </w:pPr>
    </w:lvl>
    <w:lvl w:ilvl="4" w:tplc="572828E2" w:tentative="1">
      <w:start w:val="1"/>
      <w:numFmt w:val="lowerLetter"/>
      <w:lvlText w:val="%5."/>
      <w:lvlJc w:val="left"/>
      <w:pPr>
        <w:ind w:left="3600" w:hanging="360"/>
      </w:pPr>
    </w:lvl>
    <w:lvl w:ilvl="5" w:tplc="DA40518E" w:tentative="1">
      <w:start w:val="1"/>
      <w:numFmt w:val="lowerRoman"/>
      <w:lvlText w:val="%6."/>
      <w:lvlJc w:val="right"/>
      <w:pPr>
        <w:ind w:left="4320" w:hanging="180"/>
      </w:pPr>
    </w:lvl>
    <w:lvl w:ilvl="6" w:tplc="1D3AB760" w:tentative="1">
      <w:start w:val="1"/>
      <w:numFmt w:val="decimal"/>
      <w:lvlText w:val="%7."/>
      <w:lvlJc w:val="left"/>
      <w:pPr>
        <w:ind w:left="5040" w:hanging="360"/>
      </w:pPr>
    </w:lvl>
    <w:lvl w:ilvl="7" w:tplc="645230A6" w:tentative="1">
      <w:start w:val="1"/>
      <w:numFmt w:val="lowerLetter"/>
      <w:lvlText w:val="%8."/>
      <w:lvlJc w:val="left"/>
      <w:pPr>
        <w:ind w:left="5760" w:hanging="360"/>
      </w:pPr>
    </w:lvl>
    <w:lvl w:ilvl="8" w:tplc="B7864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ECAD5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7DC2E8A" w:tentative="1">
      <w:start w:val="1"/>
      <w:numFmt w:val="lowerLetter"/>
      <w:lvlText w:val="%2."/>
      <w:lvlJc w:val="left"/>
      <w:pPr>
        <w:ind w:left="4135" w:hanging="360"/>
      </w:pPr>
    </w:lvl>
    <w:lvl w:ilvl="2" w:tplc="C4B28720" w:tentative="1">
      <w:start w:val="1"/>
      <w:numFmt w:val="lowerRoman"/>
      <w:lvlText w:val="%3."/>
      <w:lvlJc w:val="right"/>
      <w:pPr>
        <w:ind w:left="4855" w:hanging="180"/>
      </w:pPr>
    </w:lvl>
    <w:lvl w:ilvl="3" w:tplc="70829938" w:tentative="1">
      <w:start w:val="1"/>
      <w:numFmt w:val="decimal"/>
      <w:lvlText w:val="%4."/>
      <w:lvlJc w:val="left"/>
      <w:pPr>
        <w:ind w:left="5575" w:hanging="360"/>
      </w:pPr>
    </w:lvl>
    <w:lvl w:ilvl="4" w:tplc="64A21F44" w:tentative="1">
      <w:start w:val="1"/>
      <w:numFmt w:val="lowerLetter"/>
      <w:lvlText w:val="%5."/>
      <w:lvlJc w:val="left"/>
      <w:pPr>
        <w:ind w:left="6295" w:hanging="360"/>
      </w:pPr>
    </w:lvl>
    <w:lvl w:ilvl="5" w:tplc="E5429994" w:tentative="1">
      <w:start w:val="1"/>
      <w:numFmt w:val="lowerRoman"/>
      <w:lvlText w:val="%6."/>
      <w:lvlJc w:val="right"/>
      <w:pPr>
        <w:ind w:left="7015" w:hanging="180"/>
      </w:pPr>
    </w:lvl>
    <w:lvl w:ilvl="6" w:tplc="5A7EEF84" w:tentative="1">
      <w:start w:val="1"/>
      <w:numFmt w:val="decimal"/>
      <w:lvlText w:val="%7."/>
      <w:lvlJc w:val="left"/>
      <w:pPr>
        <w:ind w:left="7735" w:hanging="360"/>
      </w:pPr>
    </w:lvl>
    <w:lvl w:ilvl="7" w:tplc="55AAB040" w:tentative="1">
      <w:start w:val="1"/>
      <w:numFmt w:val="lowerLetter"/>
      <w:lvlText w:val="%8."/>
      <w:lvlJc w:val="left"/>
      <w:pPr>
        <w:ind w:left="8455" w:hanging="360"/>
      </w:pPr>
    </w:lvl>
    <w:lvl w:ilvl="8" w:tplc="390C068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A760F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321C2"/>
    <w:rsid w:val="00255725"/>
    <w:rsid w:val="0027066A"/>
    <w:rsid w:val="0027755B"/>
    <w:rsid w:val="002777CA"/>
    <w:rsid w:val="00296738"/>
    <w:rsid w:val="00297EED"/>
    <w:rsid w:val="002D0D44"/>
    <w:rsid w:val="002D55E7"/>
    <w:rsid w:val="00332100"/>
    <w:rsid w:val="00352E72"/>
    <w:rsid w:val="0036288B"/>
    <w:rsid w:val="00382533"/>
    <w:rsid w:val="0038330B"/>
    <w:rsid w:val="00384368"/>
    <w:rsid w:val="003A200A"/>
    <w:rsid w:val="003D3D66"/>
    <w:rsid w:val="003D4818"/>
    <w:rsid w:val="003E7D7D"/>
    <w:rsid w:val="00402C59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95164"/>
    <w:rsid w:val="005A501F"/>
    <w:rsid w:val="005B2C96"/>
    <w:rsid w:val="005C1D47"/>
    <w:rsid w:val="005D1440"/>
    <w:rsid w:val="005F6905"/>
    <w:rsid w:val="00601F7D"/>
    <w:rsid w:val="0060293E"/>
    <w:rsid w:val="006038F6"/>
    <w:rsid w:val="00612F6C"/>
    <w:rsid w:val="00626375"/>
    <w:rsid w:val="006365FD"/>
    <w:rsid w:val="006542FC"/>
    <w:rsid w:val="00660B50"/>
    <w:rsid w:val="00663786"/>
    <w:rsid w:val="00687E2A"/>
    <w:rsid w:val="006C578A"/>
    <w:rsid w:val="006D32FD"/>
    <w:rsid w:val="00762DAF"/>
    <w:rsid w:val="00774A55"/>
    <w:rsid w:val="007750EC"/>
    <w:rsid w:val="0077796F"/>
    <w:rsid w:val="00785E00"/>
    <w:rsid w:val="007A2475"/>
    <w:rsid w:val="007B4337"/>
    <w:rsid w:val="007C3397"/>
    <w:rsid w:val="007C5D9D"/>
    <w:rsid w:val="007E7BFF"/>
    <w:rsid w:val="00810800"/>
    <w:rsid w:val="008144BF"/>
    <w:rsid w:val="008341A7"/>
    <w:rsid w:val="00837F1B"/>
    <w:rsid w:val="00873F66"/>
    <w:rsid w:val="008A4F44"/>
    <w:rsid w:val="008C68E8"/>
    <w:rsid w:val="00902558"/>
    <w:rsid w:val="0092207D"/>
    <w:rsid w:val="00922DD9"/>
    <w:rsid w:val="00933875"/>
    <w:rsid w:val="00945664"/>
    <w:rsid w:val="00966D27"/>
    <w:rsid w:val="0098459A"/>
    <w:rsid w:val="009A145D"/>
    <w:rsid w:val="009C323A"/>
    <w:rsid w:val="009E4566"/>
    <w:rsid w:val="00A62E8A"/>
    <w:rsid w:val="00A80572"/>
    <w:rsid w:val="00A805F9"/>
    <w:rsid w:val="00A902DD"/>
    <w:rsid w:val="00A9514D"/>
    <w:rsid w:val="00AA0CFF"/>
    <w:rsid w:val="00AC3113"/>
    <w:rsid w:val="00AC56A2"/>
    <w:rsid w:val="00AE2CD5"/>
    <w:rsid w:val="00AE5244"/>
    <w:rsid w:val="00AE7B1D"/>
    <w:rsid w:val="00B24177"/>
    <w:rsid w:val="00B372F4"/>
    <w:rsid w:val="00B577A6"/>
    <w:rsid w:val="00B77531"/>
    <w:rsid w:val="00B9309E"/>
    <w:rsid w:val="00BB197A"/>
    <w:rsid w:val="00BF08A4"/>
    <w:rsid w:val="00C12059"/>
    <w:rsid w:val="00C24F43"/>
    <w:rsid w:val="00C2701D"/>
    <w:rsid w:val="00C27574"/>
    <w:rsid w:val="00CB236C"/>
    <w:rsid w:val="00CB3C6C"/>
    <w:rsid w:val="00CE054E"/>
    <w:rsid w:val="00CE32A4"/>
    <w:rsid w:val="00D01D72"/>
    <w:rsid w:val="00D24BCE"/>
    <w:rsid w:val="00D27344"/>
    <w:rsid w:val="00D330AC"/>
    <w:rsid w:val="00DA67CA"/>
    <w:rsid w:val="00DA74D3"/>
    <w:rsid w:val="00DC43FE"/>
    <w:rsid w:val="00E0776B"/>
    <w:rsid w:val="00E82992"/>
    <w:rsid w:val="00E83A19"/>
    <w:rsid w:val="00E86904"/>
    <w:rsid w:val="00EC4AF9"/>
    <w:rsid w:val="00EF3564"/>
    <w:rsid w:val="00EF7B11"/>
    <w:rsid w:val="00F04A5B"/>
    <w:rsid w:val="00F34FD6"/>
    <w:rsid w:val="00F506EC"/>
    <w:rsid w:val="00F608DB"/>
    <w:rsid w:val="00F64954"/>
    <w:rsid w:val="00F725A8"/>
    <w:rsid w:val="00FA0680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9FFF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4305-1F5D-4FC3-B8DE-82A5A51D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42</cp:revision>
  <cp:lastPrinted>2023-05-26T12:21:00Z</cp:lastPrinted>
  <dcterms:created xsi:type="dcterms:W3CDTF">2021-04-19T12:30:00Z</dcterms:created>
  <dcterms:modified xsi:type="dcterms:W3CDTF">2024-05-24T15:04:00Z</dcterms:modified>
</cp:coreProperties>
</file>