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7F97" w14:textId="77777777" w:rsidR="00276E52" w:rsidRPr="00276E52" w:rsidRDefault="00276E52" w:rsidP="00276E52">
      <w:pPr>
        <w:widowControl/>
        <w:autoSpaceDE/>
        <w:autoSpaceDN/>
        <w:jc w:val="both"/>
        <w:rPr>
          <w:rFonts w:ascii="Century Gothic" w:eastAsia="Times New Roman" w:hAnsi="Century Gothic" w:cs="Times New Roman"/>
          <w:b/>
          <w:color w:val="000000"/>
          <w:sz w:val="28"/>
          <w:szCs w:val="28"/>
          <w:lang w:val="pt-BR" w:eastAsia="pt-BR"/>
        </w:rPr>
      </w:pPr>
    </w:p>
    <w:p w14:paraId="430DDC3F" w14:textId="77777777" w:rsidR="00CB6548" w:rsidRPr="00CB6548" w:rsidRDefault="00CB6548" w:rsidP="00CB6548">
      <w:pPr>
        <w:widowControl/>
        <w:autoSpaceDE/>
        <w:autoSpaceDN/>
        <w:jc w:val="center"/>
        <w:rPr>
          <w:rFonts w:ascii="Segoe UI Light" w:eastAsia="Times New Roman" w:hAnsi="Segoe UI Light" w:cs="Segoe UI Light"/>
          <w:sz w:val="24"/>
          <w:szCs w:val="24"/>
          <w:lang w:val="pt-BR" w:eastAsia="pt-BR"/>
        </w:rPr>
      </w:pPr>
    </w:p>
    <w:p w14:paraId="05C74856" w14:textId="77777777" w:rsidR="00CB6548" w:rsidRPr="00CB6548" w:rsidRDefault="00CB6548" w:rsidP="00CB6548">
      <w:pPr>
        <w:widowControl/>
        <w:autoSpaceDE/>
        <w:autoSpaceDN/>
        <w:jc w:val="center"/>
        <w:rPr>
          <w:rFonts w:ascii="Segoe UI Light" w:eastAsia="Times New Roman" w:hAnsi="Segoe UI Light" w:cs="Segoe UI Light"/>
          <w:sz w:val="24"/>
          <w:szCs w:val="24"/>
          <w:lang w:val="pt-BR" w:eastAsia="pt-BR"/>
        </w:rPr>
      </w:pPr>
    </w:p>
    <w:p w14:paraId="492ED0DA" w14:textId="6EDA7C70" w:rsidR="00CB6548" w:rsidRPr="00CB6548" w:rsidRDefault="00CB6548" w:rsidP="00CB6548">
      <w:pPr>
        <w:widowControl/>
        <w:autoSpaceDE/>
        <w:autoSpaceDN/>
        <w:spacing w:after="160" w:line="256" w:lineRule="auto"/>
        <w:jc w:val="center"/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</w:pPr>
      <w:r w:rsidRPr="00DD1305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 xml:space="preserve">PROJETO DE LEI Nº </w:t>
      </w:r>
      <w:r w:rsidR="00DD1305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595</w:t>
      </w:r>
      <w:r w:rsidR="00233130" w:rsidRPr="00DD1305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/2025</w:t>
      </w:r>
      <w:r w:rsidRPr="00DD1305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.</w:t>
      </w:r>
    </w:p>
    <w:p w14:paraId="240F0B39" w14:textId="77777777" w:rsidR="00CB6548" w:rsidRPr="00CB6548" w:rsidRDefault="00CB6548" w:rsidP="00CB6548">
      <w:pPr>
        <w:widowControl/>
        <w:autoSpaceDE/>
        <w:autoSpaceDN/>
        <w:spacing w:after="160" w:line="256" w:lineRule="auto"/>
        <w:jc w:val="center"/>
        <w:rPr>
          <w:rFonts w:ascii="Segoe UI Light" w:eastAsia="Calibri" w:hAnsi="Segoe UI Light" w:cs="Segoe UI Light"/>
          <w:sz w:val="24"/>
          <w:szCs w:val="24"/>
          <w:lang w:val="pt-BR"/>
        </w:rPr>
      </w:pPr>
    </w:p>
    <w:p w14:paraId="702E3CE1" w14:textId="77777777" w:rsidR="00CB6548" w:rsidRPr="00CB6548" w:rsidRDefault="00CB6548" w:rsidP="00CB6548">
      <w:pPr>
        <w:widowControl/>
        <w:autoSpaceDE/>
        <w:autoSpaceDN/>
        <w:spacing w:after="160" w:line="256" w:lineRule="auto"/>
        <w:ind w:left="4536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</w:p>
    <w:p w14:paraId="38E28644" w14:textId="6969C188" w:rsidR="00CB6548" w:rsidRPr="00CB6548" w:rsidRDefault="00CB6548" w:rsidP="00CB6548">
      <w:pPr>
        <w:widowControl/>
        <w:autoSpaceDE/>
        <w:autoSpaceDN/>
        <w:spacing w:after="160" w:line="259" w:lineRule="auto"/>
        <w:ind w:left="4536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Institui o Plano Plurianual – PPA do Município </w:t>
      </w:r>
      <w:r>
        <w:rPr>
          <w:rFonts w:ascii="Segoe UI Light" w:eastAsia="Calibri" w:hAnsi="Segoe UI Light" w:cs="Segoe UI Light"/>
          <w:sz w:val="24"/>
          <w:szCs w:val="24"/>
          <w:lang w:val="pt-BR"/>
        </w:rPr>
        <w:t>Sonora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/MS, para o quadriênio 2026-2029, e dá outras providências. </w:t>
      </w:r>
    </w:p>
    <w:p w14:paraId="6545A25D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left="4536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</w:p>
    <w:p w14:paraId="3B72A473" w14:textId="29E7DC6E" w:rsidR="00CB6548" w:rsidRPr="00CB6548" w:rsidRDefault="00233130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</w:pPr>
      <w:r>
        <w:rPr>
          <w:rFonts w:ascii="Segoe UI Light" w:eastAsia="Calibri" w:hAnsi="Segoe UI Light" w:cs="Segoe UI Light"/>
          <w:sz w:val="24"/>
          <w:szCs w:val="24"/>
          <w:lang w:val="pt-BR"/>
        </w:rPr>
        <w:t>A</w:t>
      </w:r>
      <w:r w:rsidR="00CB6548"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Prefeit</w:t>
      </w:r>
      <w:r>
        <w:rPr>
          <w:rFonts w:ascii="Segoe UI Light" w:eastAsia="Calibri" w:hAnsi="Segoe UI Light" w:cs="Segoe UI Light"/>
          <w:sz w:val="24"/>
          <w:szCs w:val="24"/>
          <w:lang w:val="pt-BR"/>
        </w:rPr>
        <w:t>a</w:t>
      </w:r>
      <w:r w:rsidR="00CB6548"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Municipal de </w:t>
      </w:r>
      <w:r w:rsidR="00CB6548">
        <w:rPr>
          <w:rFonts w:ascii="Segoe UI Light" w:eastAsia="Calibri" w:hAnsi="Segoe UI Light" w:cs="Segoe UI Light"/>
          <w:sz w:val="24"/>
          <w:szCs w:val="24"/>
          <w:lang w:val="pt-BR"/>
        </w:rPr>
        <w:t>Sonora</w:t>
      </w:r>
      <w:r w:rsidR="00CB6548" w:rsidRPr="00CB6548">
        <w:rPr>
          <w:rFonts w:ascii="Segoe UI Light" w:eastAsia="Calibri" w:hAnsi="Segoe UI Light" w:cs="Segoe UI Light"/>
          <w:sz w:val="24"/>
          <w:szCs w:val="24"/>
          <w:lang w:val="pt-BR"/>
        </w:rPr>
        <w:t>/MS, Estado de Mato Grosso do Sul, no uso das atribuições que lhe confere a Lei Orgânica do Município, faz saber que a Câmara Municipal aprovou e ele(a) sanciona a seguinte Lei:</w:t>
      </w:r>
    </w:p>
    <w:p w14:paraId="381BA160" w14:textId="7E9DEDE9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1º.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Fica instituído o Plano Plurianual – PPA do Município de </w:t>
      </w:r>
      <w:r>
        <w:rPr>
          <w:rFonts w:ascii="Segoe UI Light" w:eastAsia="Calibri" w:hAnsi="Segoe UI Light" w:cs="Segoe UI Light"/>
          <w:sz w:val="24"/>
          <w:szCs w:val="24"/>
          <w:lang w:val="pt-BR"/>
        </w:rPr>
        <w:t>Sonora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/MS, para o quadriênio 2026-2029, em atendimento ao disposto no § 1º do art. 165 da Constituição Federal, de 5 de outubro de 1988, estabelecendo as diretrizes, objetivos e metas da Administração Pública Municipal para as despesas de capital e outras delas decorrentes, bem como para os programas de duração continuada.</w:t>
      </w:r>
    </w:p>
    <w:p w14:paraId="170AB24D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2º.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O Plano Plurianual – PPA 2026-2029 constitui o instrumento de planejamento governamental que define, de forma regionalizada, as diretrizes, os objetivos e as metas da Administração Pública Municipal, orientando a aplicação dos recursos públicos nas despesas de capital e outras delas decorrentes, bem como naqueles referentes aos programas de duração continuada.</w:t>
      </w:r>
    </w:p>
    <w:p w14:paraId="1066DFF5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3º.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Para os fins desta Lei, adotam-se as seguintes definições:</w:t>
      </w:r>
    </w:p>
    <w:p w14:paraId="55AA8561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 – Programa: instrumento de organização da ação governamental que visa à concretização dos objetivos pretendidos;</w:t>
      </w:r>
    </w:p>
    <w:p w14:paraId="09CBD01B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II - Indicador: unidade de medida destinada a verificar o grau de alcance dos resultados estabelecidos;</w:t>
      </w:r>
    </w:p>
    <w:p w14:paraId="6AFB4491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III - Justificativa: descrição da realidade existente, permitindo a caracterização e a mensuração dos problemas e necessidades que fundamentam a ação governamental;</w:t>
      </w:r>
    </w:p>
    <w:p w14:paraId="448267AF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lastRenderedPageBreak/>
        <w:t>IV – Objetivo: resultado que se pretende alcançar por meio da execução das ações governamentais;</w:t>
      </w:r>
    </w:p>
    <w:p w14:paraId="59D08BE6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V – Ação: conjunto de procedimentos e trabalhos desenvolvidos pelo Poder Público com vistas à execução dos programas;</w:t>
      </w:r>
    </w:p>
    <w:p w14:paraId="3093E2E7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VI – Produto: bem ou serviço gerado em cada ação governamental no âmbito da execução do programa;</w:t>
      </w:r>
    </w:p>
    <w:p w14:paraId="3474846C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VII – Meta: objetivo quantitativo expresso em termos de produtos e resultados a serem alcançados.</w:t>
      </w:r>
    </w:p>
    <w:p w14:paraId="7508E82A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VIII – Diretrizes: orientações estratégicas que fundamentam a formulação dos programas e ações governamentais;</w:t>
      </w:r>
    </w:p>
    <w:p w14:paraId="71BF97A7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IX – Resultado: impacto ou efeito produzido pelas ações governamentais sobre a realidade, mensurado por meio de indicadores;</w:t>
      </w:r>
    </w:p>
    <w:p w14:paraId="5E29E05F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X – Eixo temático: agrupamento de programas e ações em áreas estratégicas de atuação, de acordo com as políticas públicas estabelecidas no planejamento municipal.</w:t>
      </w:r>
    </w:p>
    <w:p w14:paraId="07917C59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4º.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Integram o Plano Plurianual do Município os seguintes anexos, que passam a constituir parte integrante desta Lei:</w:t>
      </w:r>
    </w:p>
    <w:p w14:paraId="735C2205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 – Anexo I - Fontes de Financiamento dos Programas Governamentais;</w:t>
      </w:r>
    </w:p>
    <w:p w14:paraId="309202CB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II – Anexo II - Descrição dos Programas Governamentais/Metas/Custos; </w:t>
      </w:r>
    </w:p>
    <w:p w14:paraId="6C81EBA7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III – Anexo III - Unidades Executoras e Ações voltadas ao Desenvolvimento do Programa Governamental; </w:t>
      </w:r>
    </w:p>
    <w:p w14:paraId="4F3A5190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IV – Relatório I - Síntese das Ações por Entidade e Órgão; </w:t>
      </w:r>
    </w:p>
    <w:p w14:paraId="0B57F0BC" w14:textId="77777777" w:rsidR="00CB6548" w:rsidRPr="00CB6548" w:rsidRDefault="00CB6548" w:rsidP="00CB6548">
      <w:pPr>
        <w:widowControl/>
        <w:autoSpaceDE/>
        <w:autoSpaceDN/>
        <w:spacing w:after="16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V – Relatório II – Planejamento Orçamentário.</w:t>
      </w:r>
    </w:p>
    <w:p w14:paraId="47BB1398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5º.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O Plano Plurianual – PPA 2026-2029 reflete as políticas públicas do Município e orienta a atuação governamental por meio da implementação de programas, classificados em:</w:t>
      </w:r>
    </w:p>
    <w:p w14:paraId="6EEB8A01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 – Programas finalísticos: aqueles que ofertam bens e serviços diretamente à sociedade, com resultados mensuráveis mediante indicadores específicos;</w:t>
      </w:r>
    </w:p>
    <w:p w14:paraId="5D1A35C2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lastRenderedPageBreak/>
        <w:t>II – Programas de apoio administrativo: aqueles voltados às atividades de suporte, gestão e manutenção indispensáveis ao funcionamento e à continuidade da ação governamental.</w:t>
      </w:r>
    </w:p>
    <w:p w14:paraId="518D34CF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III - Programas de natureza especial: aqueles destinados ao cumprimento de obrigações do Município que não resultam na oferta direta de bens ou serviços à sociedade, como o pagamento de dívidas, precatórios e encargos diversos.</w:t>
      </w:r>
    </w:p>
    <w:p w14:paraId="312FC12B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6º.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Os programas instituídos pelo Plano Plurianual serão observados, em cada exercício, na Lei de Diretrizes Orçamentárias, na Lei Orçamentária Anual e nas Leis que autorizem a abertura de créditos adicionais, de forma a assegurar a compatibilidade e a integração entre os instrumentos de planejamento e orçamento.</w:t>
      </w:r>
    </w:p>
    <w:p w14:paraId="10124B8B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7º.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Os valores financeiros atribuídos às ações orçamentárias constantes do Plano Plurianual têm caráter estimativo, não constituindo limites à programação das despesas previstas nas Leis Orçamentárias Anuais ou em seus créditos adicionais.</w:t>
      </w:r>
    </w:p>
    <w:p w14:paraId="28E8BA76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8º.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Nenhum investimento cuja execução ultrapasse um exercício financeiro poderá ser iniciado sem a sua prévia inclusão no Plano Plurianual, ou sem lei que autorize a sua execução, sob pena de irregularidade da despesa.</w:t>
      </w:r>
    </w:p>
    <w:p w14:paraId="034605BB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9º.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A inclusão, alteração ou exclusão de programas, ações orçamentárias e metas fixadas nesta Lei somente poderá ser realizada mediante:</w:t>
      </w:r>
    </w:p>
    <w:p w14:paraId="305687A3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 – Lei específica;</w:t>
      </w:r>
    </w:p>
    <w:p w14:paraId="029E549C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II – Lei de Diretrizes Orçamentárias;</w:t>
      </w:r>
    </w:p>
    <w:p w14:paraId="0F20875E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III – Lei Orçamentária Anual;</w:t>
      </w:r>
    </w:p>
    <w:p w14:paraId="6DF5D872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IV – Leis que autorizem a abertura de créditos adicionais.</w:t>
      </w:r>
    </w:p>
    <w:p w14:paraId="0B7D8035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§ 1º.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As disposições introduzidas pelos instrumentos previstos nos incisos deste artigo integrarão automaticamente o Plano Plurianual.</w:t>
      </w:r>
    </w:p>
    <w:p w14:paraId="68AC2F38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§ 2º.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As alterações promovidas deverão observar os princípios da responsabilidade fiscal, da transparência e da compatibilidade com as demais peças de planejamento governamental.</w:t>
      </w:r>
    </w:p>
    <w:p w14:paraId="309C5980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lastRenderedPageBreak/>
        <w:t>Art. 10.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O Poder Executivo, mediante ato próprio, poderá promover ajustes de caráter técnico-operacional no Plano Plurianual 2026-2029, sem alterar programas, ações ou metas definidas em lei, limitando-se a:</w:t>
      </w:r>
    </w:p>
    <w:p w14:paraId="79225B63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 – Adequar entidades contábeis, órgãos e unidades orçamentárias responsáveis por programas e ações;</w:t>
      </w:r>
    </w:p>
    <w:p w14:paraId="3618E7A4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II – Atualizar metas financeiras em razão da execução orçamentária, desde que dentro dos limites legais já aprovados;</w:t>
      </w:r>
    </w:p>
    <w:p w14:paraId="747B5006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III – Redistribuir metas físicas entre ações de um mesmo programa, sem alterar seus objetivos;</w:t>
      </w:r>
    </w:p>
    <w:p w14:paraId="39B9E107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>IV – Ajustar indicadores, produtos, unidades de medida, fontes e subfunções, para fins de aperfeiçoamento da gestão, monitoramento e avaliação.</w:t>
      </w:r>
    </w:p>
    <w:p w14:paraId="2AFAA448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11.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A gestão do Plano Plurianual observará os princípios da eficiência, da eficácia e da efetividade, compreendendo a implementação, o monitoramento, a avaliação e a revisão dos programas, de modo a assegurar a transparência e a melhoria contínua das políticas públicas municipais.</w:t>
      </w:r>
    </w:p>
    <w:p w14:paraId="6C7D36B8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12.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O Poder Executivo divulgará, em sítio eletrônico oficial, o Plano Plurianual aprovado, bem como todas as suas alterações, assegurando amplo acesso à sociedade.</w:t>
      </w:r>
    </w:p>
    <w:p w14:paraId="1AA92582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13.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O Plano Plurianual 2026-2029 assegura a previsão de recursos necessários à execução das ações previstas no Plano Municipal pela Primeira Infância – PMPI, garantindo sua compatibilização com as diretrizes estabelecidas na Lei de Diretrizes Orçamentárias e na Lei Orçamentária Anual.</w:t>
      </w:r>
    </w:p>
    <w:p w14:paraId="6610BF05" w14:textId="77777777" w:rsidR="00CB6548" w:rsidRPr="00CB6548" w:rsidRDefault="00CB6548" w:rsidP="00CB6548">
      <w:pPr>
        <w:widowControl/>
        <w:autoSpaceDE/>
        <w:autoSpaceDN/>
        <w:spacing w:after="240" w:line="259" w:lineRule="auto"/>
        <w:ind w:firstLine="1134"/>
        <w:jc w:val="both"/>
        <w:rPr>
          <w:rFonts w:ascii="Segoe UI Light" w:eastAsia="Calibri" w:hAnsi="Segoe UI Light" w:cs="Segoe UI Light"/>
          <w:sz w:val="24"/>
          <w:szCs w:val="24"/>
          <w:lang w:val="pt-BR"/>
        </w:rPr>
      </w:pP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</w:t>
      </w:r>
      <w:r w:rsidRPr="00CB6548">
        <w:rPr>
          <w:rFonts w:ascii="Segoe UI Light" w:eastAsia="Calibri" w:hAnsi="Segoe UI Light" w:cs="Segoe UI Light"/>
          <w:b/>
          <w:bCs/>
          <w:sz w:val="24"/>
          <w:szCs w:val="24"/>
          <w:lang w:val="pt-BR"/>
        </w:rPr>
        <w:t>Art. 14.</w:t>
      </w:r>
      <w:r w:rsidRPr="00CB6548">
        <w:rPr>
          <w:rFonts w:ascii="Segoe UI Light" w:eastAsia="Calibri" w:hAnsi="Segoe UI Light" w:cs="Segoe UI Light"/>
          <w:sz w:val="24"/>
          <w:szCs w:val="24"/>
          <w:lang w:val="pt-BR"/>
        </w:rPr>
        <w:t xml:space="preserve"> Esta Lei entra em vigor na data de sua publicação, produzindo efeitos a partir de 1º de janeiro de 2026.</w:t>
      </w:r>
    </w:p>
    <w:p w14:paraId="4C7EE268" w14:textId="77777777" w:rsidR="00276E52" w:rsidRPr="00276E52" w:rsidRDefault="00276E52" w:rsidP="00276E52">
      <w:pPr>
        <w:widowControl/>
        <w:autoSpaceDE/>
        <w:autoSpaceDN/>
        <w:ind w:firstLine="709"/>
        <w:rPr>
          <w:rFonts w:ascii="Century Gothic" w:eastAsia="Times New Roman" w:hAnsi="Century Gothic" w:cs="Times New Roman"/>
          <w:sz w:val="24"/>
          <w:szCs w:val="24"/>
          <w:lang w:val="pt-BR" w:eastAsia="pt-BR"/>
        </w:rPr>
      </w:pPr>
    </w:p>
    <w:p w14:paraId="19EC4B9E" w14:textId="77777777" w:rsidR="00276E52" w:rsidRPr="00276E52" w:rsidRDefault="00276E52" w:rsidP="00276E52">
      <w:pPr>
        <w:widowControl/>
        <w:autoSpaceDE/>
        <w:autoSpaceDN/>
        <w:ind w:firstLine="709"/>
        <w:rPr>
          <w:rFonts w:ascii="Century Gothic" w:eastAsia="Times New Roman" w:hAnsi="Century Gothic" w:cs="Times New Roman"/>
          <w:sz w:val="24"/>
          <w:szCs w:val="24"/>
          <w:lang w:val="pt-BR" w:eastAsia="pt-BR"/>
        </w:rPr>
      </w:pPr>
    </w:p>
    <w:p w14:paraId="191DA7D2" w14:textId="3E206AD3" w:rsidR="00276E52" w:rsidRPr="00276E52" w:rsidRDefault="00276E52" w:rsidP="00276E52">
      <w:pPr>
        <w:widowControl/>
        <w:autoSpaceDE/>
        <w:autoSpaceDN/>
        <w:ind w:firstLine="709"/>
        <w:jc w:val="right"/>
        <w:rPr>
          <w:rFonts w:ascii="Century Gothic" w:eastAsia="Times New Roman" w:hAnsi="Century Gothic" w:cs="Times New Roman"/>
          <w:sz w:val="24"/>
          <w:szCs w:val="24"/>
          <w:lang w:val="pt-BR" w:eastAsia="pt-BR"/>
        </w:rPr>
      </w:pPr>
      <w:r>
        <w:rPr>
          <w:rFonts w:ascii="Century Gothic" w:eastAsia="Times New Roman" w:hAnsi="Century Gothic" w:cs="Times New Roman"/>
          <w:sz w:val="24"/>
          <w:szCs w:val="24"/>
          <w:lang w:val="pt-BR" w:eastAsia="pt-BR"/>
        </w:rPr>
        <w:t xml:space="preserve">Sonora </w:t>
      </w:r>
      <w:r w:rsidRPr="00276E52">
        <w:rPr>
          <w:rFonts w:ascii="Century Gothic" w:eastAsia="Times New Roman" w:hAnsi="Century Gothic" w:cs="Times New Roman"/>
          <w:sz w:val="24"/>
          <w:szCs w:val="24"/>
          <w:lang w:val="pt-BR" w:eastAsia="pt-BR"/>
        </w:rPr>
        <w:t xml:space="preserve">– MS, </w:t>
      </w:r>
      <w:r w:rsidR="00CD729F">
        <w:rPr>
          <w:rFonts w:ascii="Century Gothic" w:eastAsia="Times New Roman" w:hAnsi="Century Gothic" w:cs="Times New Roman"/>
          <w:sz w:val="24"/>
          <w:szCs w:val="24"/>
          <w:lang w:val="pt-BR" w:eastAsia="pt-BR"/>
        </w:rPr>
        <w:t>26</w:t>
      </w:r>
      <w:r w:rsidRPr="00276E52">
        <w:rPr>
          <w:rFonts w:ascii="Century Gothic" w:eastAsia="Times New Roman" w:hAnsi="Century Gothic" w:cs="Times New Roman"/>
          <w:sz w:val="24"/>
          <w:szCs w:val="24"/>
          <w:lang w:val="pt-BR" w:eastAsia="pt-BR"/>
        </w:rPr>
        <w:t xml:space="preserve"> de </w:t>
      </w:r>
      <w:r w:rsidR="00721D2A">
        <w:rPr>
          <w:rFonts w:ascii="Century Gothic" w:eastAsia="Times New Roman" w:hAnsi="Century Gothic" w:cs="Times New Roman"/>
          <w:sz w:val="24"/>
          <w:szCs w:val="24"/>
          <w:lang w:val="pt-BR" w:eastAsia="pt-BR"/>
        </w:rPr>
        <w:t>setembro</w:t>
      </w:r>
      <w:r w:rsidRPr="00276E52">
        <w:rPr>
          <w:rFonts w:ascii="Century Gothic" w:eastAsia="Times New Roman" w:hAnsi="Century Gothic" w:cs="Times New Roman"/>
          <w:sz w:val="24"/>
          <w:szCs w:val="24"/>
          <w:lang w:val="pt-BR" w:eastAsia="pt-BR"/>
        </w:rPr>
        <w:t xml:space="preserve"> de 2025.</w:t>
      </w:r>
    </w:p>
    <w:p w14:paraId="21BBD857" w14:textId="77777777" w:rsidR="00276E52" w:rsidRPr="00276E52" w:rsidRDefault="00276E52" w:rsidP="00276E52">
      <w:pPr>
        <w:widowControl/>
        <w:autoSpaceDE/>
        <w:autoSpaceDN/>
        <w:rPr>
          <w:rFonts w:ascii="Century Gothic" w:eastAsia="Times New Roman" w:hAnsi="Century Gothic" w:cs="Times New Roman"/>
          <w:sz w:val="24"/>
          <w:szCs w:val="24"/>
          <w:lang w:val="pt-BR" w:eastAsia="pt-BR"/>
        </w:rPr>
      </w:pPr>
    </w:p>
    <w:p w14:paraId="63C92B76" w14:textId="77777777" w:rsidR="00276E52" w:rsidRPr="00276E52" w:rsidRDefault="00276E52" w:rsidP="00276E52">
      <w:pPr>
        <w:widowControl/>
        <w:autoSpaceDE/>
        <w:autoSpaceDN/>
        <w:rPr>
          <w:rFonts w:ascii="Century Gothic" w:eastAsia="Times New Roman" w:hAnsi="Century Gothic" w:cs="Times New Roman"/>
          <w:sz w:val="24"/>
          <w:szCs w:val="24"/>
          <w:lang w:val="pt-BR" w:eastAsia="pt-BR"/>
        </w:rPr>
      </w:pPr>
    </w:p>
    <w:p w14:paraId="3795357E" w14:textId="77777777" w:rsidR="00276E52" w:rsidRPr="00276E52" w:rsidRDefault="00276E52" w:rsidP="00276E52">
      <w:pPr>
        <w:widowControl/>
        <w:autoSpaceDE/>
        <w:autoSpaceDN/>
        <w:rPr>
          <w:rFonts w:ascii="Century Gothic" w:eastAsia="Times New Roman" w:hAnsi="Century Gothic" w:cs="Times New Roman"/>
          <w:sz w:val="24"/>
          <w:szCs w:val="24"/>
          <w:lang w:val="pt-BR" w:eastAsia="pt-BR"/>
        </w:rPr>
      </w:pPr>
    </w:p>
    <w:p w14:paraId="723204A1" w14:textId="77777777" w:rsidR="00276E52" w:rsidRPr="00276E52" w:rsidRDefault="00276E52" w:rsidP="00276E52">
      <w:pPr>
        <w:widowControl/>
        <w:autoSpaceDE/>
        <w:autoSpaceDN/>
        <w:rPr>
          <w:rFonts w:ascii="Century Gothic" w:eastAsia="Times New Roman" w:hAnsi="Century Gothic" w:cs="Times New Roman"/>
          <w:sz w:val="24"/>
          <w:szCs w:val="24"/>
          <w:lang w:val="pt-BR" w:eastAsia="pt-BR"/>
        </w:rPr>
      </w:pPr>
    </w:p>
    <w:p w14:paraId="03E876E0" w14:textId="3FB13E55" w:rsidR="00276E52" w:rsidRPr="00276E52" w:rsidRDefault="00233130" w:rsidP="00276E52">
      <w:pPr>
        <w:widowControl/>
        <w:autoSpaceDE/>
        <w:autoSpaceDN/>
        <w:jc w:val="center"/>
        <w:rPr>
          <w:rFonts w:ascii="Century Gothic" w:eastAsia="Times New Roman" w:hAnsi="Century Gothic"/>
          <w:b/>
          <w:sz w:val="24"/>
          <w:szCs w:val="24"/>
          <w:lang w:val="pt-BR" w:eastAsia="pt-BR"/>
        </w:rPr>
      </w:pPr>
      <w:r>
        <w:rPr>
          <w:rFonts w:ascii="Century Gothic" w:eastAsia="Times New Roman" w:hAnsi="Century Gothic"/>
          <w:b/>
          <w:sz w:val="24"/>
          <w:szCs w:val="24"/>
          <w:lang w:val="pt-BR" w:eastAsia="pt-BR"/>
        </w:rPr>
        <w:t xml:space="preserve">Maria Clarice </w:t>
      </w:r>
      <w:proofErr w:type="spellStart"/>
      <w:r>
        <w:rPr>
          <w:rFonts w:ascii="Century Gothic" w:eastAsia="Times New Roman" w:hAnsi="Century Gothic"/>
          <w:b/>
          <w:sz w:val="24"/>
          <w:szCs w:val="24"/>
          <w:lang w:val="pt-BR" w:eastAsia="pt-BR"/>
        </w:rPr>
        <w:t>Ewerling</w:t>
      </w:r>
      <w:proofErr w:type="spellEnd"/>
    </w:p>
    <w:p w14:paraId="1404906E" w14:textId="6262161E" w:rsidR="00AB1218" w:rsidRPr="00276E52" w:rsidRDefault="00276E52" w:rsidP="00EE496B">
      <w:pPr>
        <w:widowControl/>
        <w:autoSpaceDE/>
        <w:autoSpaceDN/>
        <w:jc w:val="center"/>
      </w:pPr>
      <w:r w:rsidRPr="00276E52">
        <w:rPr>
          <w:rFonts w:ascii="Century Gothic" w:eastAsia="Times New Roman" w:hAnsi="Century Gothic"/>
          <w:sz w:val="24"/>
          <w:szCs w:val="24"/>
          <w:lang w:val="pt-BR" w:eastAsia="pt-BR"/>
        </w:rPr>
        <w:t xml:space="preserve">   </w:t>
      </w:r>
      <w:r w:rsidR="00233130" w:rsidRPr="00276E52">
        <w:rPr>
          <w:rFonts w:ascii="Century Gothic" w:eastAsia="Times New Roman" w:hAnsi="Century Gothic"/>
          <w:sz w:val="24"/>
          <w:szCs w:val="24"/>
          <w:lang w:val="pt-BR" w:eastAsia="pt-BR"/>
        </w:rPr>
        <w:t>Prefeit</w:t>
      </w:r>
      <w:r w:rsidR="00233130">
        <w:rPr>
          <w:rFonts w:ascii="Century Gothic" w:eastAsia="Times New Roman" w:hAnsi="Century Gothic"/>
          <w:sz w:val="24"/>
          <w:szCs w:val="24"/>
          <w:lang w:val="pt-BR" w:eastAsia="pt-BR"/>
        </w:rPr>
        <w:t>a</w:t>
      </w:r>
      <w:r w:rsidR="00233130" w:rsidRPr="00276E52">
        <w:rPr>
          <w:rFonts w:ascii="Century Gothic" w:eastAsia="Times New Roman" w:hAnsi="Century Gothic"/>
          <w:sz w:val="24"/>
          <w:szCs w:val="24"/>
          <w:lang w:val="pt-BR" w:eastAsia="pt-BR"/>
        </w:rPr>
        <w:t xml:space="preserve"> Municipal</w:t>
      </w:r>
    </w:p>
    <w:sectPr w:rsidR="00AB1218" w:rsidRPr="00276E52" w:rsidSect="009B48D3">
      <w:headerReference w:type="default" r:id="rId7"/>
      <w:footerReference w:type="default" r:id="rId8"/>
      <w:pgSz w:w="11910" w:h="16840"/>
      <w:pgMar w:top="2269" w:right="1701" w:bottom="1418" w:left="1701" w:header="383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6DBA" w14:textId="77777777" w:rsidR="004C7475" w:rsidRDefault="004C7475">
      <w:r>
        <w:separator/>
      </w:r>
    </w:p>
  </w:endnote>
  <w:endnote w:type="continuationSeparator" w:id="0">
    <w:p w14:paraId="09D39421" w14:textId="77777777" w:rsidR="004C7475" w:rsidRDefault="004C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Microsoft JhengHei Light"/>
    <w:charset w:val="80"/>
    <w:family w:val="swiss"/>
    <w:pitch w:val="variable"/>
  </w:font>
  <w:font w:name="DejaVu Sans">
    <w:altName w:val="Times New Roman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1E45" w14:textId="0518E787" w:rsidR="00FE3F38" w:rsidRPr="00FE3F38" w:rsidRDefault="00FE3F38" w:rsidP="00FE3F38">
    <w:pPr>
      <w:pStyle w:val="Rodap"/>
      <w:jc w:val="center"/>
      <w:rPr>
        <w:rFonts w:ascii="Verdana" w:hAnsi="Verdana"/>
        <w:sz w:val="16"/>
        <w:szCs w:val="16"/>
      </w:rPr>
    </w:pPr>
    <w:r w:rsidRPr="00FE3F38">
      <w:rPr>
        <w:rFonts w:ascii="Verdana" w:hAnsi="Verdana"/>
        <w:sz w:val="16"/>
        <w:szCs w:val="16"/>
      </w:rPr>
      <w:t>Avenida Edson Aparecido Fernandes de Campos, 750</w:t>
    </w:r>
  </w:p>
  <w:p w14:paraId="1017EBB6" w14:textId="2776EB0E" w:rsidR="00677574" w:rsidRPr="00FE3F38" w:rsidRDefault="00FE3F38" w:rsidP="00FE3F38">
    <w:pPr>
      <w:pStyle w:val="Rodap"/>
      <w:jc w:val="center"/>
      <w:rPr>
        <w:rFonts w:ascii="Verdana" w:hAnsi="Verdana"/>
        <w:sz w:val="16"/>
        <w:szCs w:val="16"/>
      </w:rPr>
    </w:pPr>
    <w:r w:rsidRPr="00FE3F38">
      <w:rPr>
        <w:rFonts w:ascii="Verdana" w:hAnsi="Verdana"/>
        <w:sz w:val="16"/>
        <w:szCs w:val="16"/>
      </w:rPr>
      <w:t>CEP 79415-000, Sonora - MS</w:t>
    </w:r>
  </w:p>
  <w:p w14:paraId="2935E176" w14:textId="3325C301" w:rsidR="00FE3F38" w:rsidRPr="00FE3F38" w:rsidRDefault="00FE3F38" w:rsidP="00FE3F38">
    <w:pPr>
      <w:pStyle w:val="Rodap"/>
      <w:ind w:left="720"/>
      <w:rPr>
        <w:rFonts w:ascii="Verdana" w:hAnsi="Verdana"/>
        <w:sz w:val="16"/>
        <w:szCs w:val="16"/>
        <w:lang w:val="pt-BR"/>
      </w:rPr>
    </w:pPr>
    <w:r>
      <w:rPr>
        <w:rFonts w:ascii="Verdana" w:hAnsi="Verdana"/>
        <w:sz w:val="16"/>
        <w:szCs w:val="16"/>
        <w:lang w:val="pt-BR"/>
      </w:rPr>
      <w:t xml:space="preserve">                                              </w:t>
    </w:r>
    <w:r w:rsidRPr="00FE3F38">
      <w:rPr>
        <w:rFonts w:ascii="Verdana" w:hAnsi="Verdana"/>
        <w:sz w:val="16"/>
        <w:szCs w:val="16"/>
        <w:lang w:val="pt-BR"/>
      </w:rPr>
      <w:t>Telefone: (67) 3254-1522</w:t>
    </w:r>
  </w:p>
  <w:p w14:paraId="00BA4D82" w14:textId="24E2BB3D" w:rsidR="00677574" w:rsidRPr="00B82A65" w:rsidRDefault="00677574" w:rsidP="00677574">
    <w:pPr>
      <w:pStyle w:val="Rodap"/>
      <w:jc w:val="center"/>
      <w:rPr>
        <w:rFonts w:ascii="Verdana" w:hAnsi="Verdana"/>
        <w:sz w:val="16"/>
        <w:szCs w:val="16"/>
      </w:rPr>
    </w:pPr>
  </w:p>
  <w:p w14:paraId="49F3751E" w14:textId="64BF0B0D" w:rsidR="00436D69" w:rsidRDefault="00436D6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2108" w14:textId="77777777" w:rsidR="004C7475" w:rsidRDefault="004C7475">
      <w:r>
        <w:separator/>
      </w:r>
    </w:p>
  </w:footnote>
  <w:footnote w:type="continuationSeparator" w:id="0">
    <w:p w14:paraId="132458B9" w14:textId="77777777" w:rsidR="004C7475" w:rsidRDefault="004C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6D01" w14:textId="5C770B6D" w:rsidR="009B48D3" w:rsidRPr="009B48D3" w:rsidRDefault="009B48D3" w:rsidP="009B48D3">
    <w:pPr>
      <w:pStyle w:val="Corpodetexto"/>
      <w:spacing w:line="14" w:lineRule="auto"/>
      <w:jc w:val="center"/>
      <w:rPr>
        <w:noProof/>
        <w:sz w:val="20"/>
        <w:lang w:val="pt-BR" w:eastAsia="pt-BR"/>
      </w:rPr>
    </w:pPr>
  </w:p>
  <w:p w14:paraId="74018C0F" w14:textId="77777777" w:rsidR="009B48D3" w:rsidRDefault="009B48D3" w:rsidP="009B48D3">
    <w:pPr>
      <w:pStyle w:val="Cabealho"/>
      <w:jc w:val="center"/>
      <w:rPr>
        <w:b/>
        <w:bCs/>
        <w:color w:val="002060"/>
      </w:rPr>
    </w:pPr>
  </w:p>
  <w:p w14:paraId="09F286B7" w14:textId="1448B6D7" w:rsidR="009B48D3" w:rsidRDefault="009B48D3" w:rsidP="009B48D3">
    <w:pPr>
      <w:pStyle w:val="Cabealho"/>
      <w:jc w:val="center"/>
      <w:rPr>
        <w:b/>
        <w:bCs/>
        <w:color w:val="002060"/>
      </w:rPr>
    </w:pPr>
    <w:r w:rsidRPr="005A6299">
      <w:rPr>
        <w:b/>
        <w:bCs/>
        <w:noProof/>
      </w:rPr>
      <w:drawing>
        <wp:inline distT="0" distB="0" distL="0" distR="0" wp14:anchorId="5CEC1A38" wp14:editId="68B6C529">
          <wp:extent cx="478790" cy="598805"/>
          <wp:effectExtent l="0" t="0" r="0" b="0"/>
          <wp:docPr id="12566264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7751D" w14:textId="24C3E345" w:rsidR="009B48D3" w:rsidRPr="005A6299" w:rsidRDefault="009B48D3" w:rsidP="009B48D3">
    <w:pPr>
      <w:pStyle w:val="Cabealho"/>
      <w:jc w:val="center"/>
      <w:rPr>
        <w:b/>
        <w:bCs/>
        <w:color w:val="002060"/>
      </w:rPr>
    </w:pPr>
    <w:r w:rsidRPr="005A6299">
      <w:rPr>
        <w:b/>
        <w:bCs/>
        <w:color w:val="002060"/>
      </w:rPr>
      <w:t>PREFEITURA MUNICIPAL DE SONORA</w:t>
    </w:r>
  </w:p>
  <w:p w14:paraId="3A049CE5" w14:textId="77777777" w:rsidR="009B48D3" w:rsidRPr="005A6299" w:rsidRDefault="009B48D3" w:rsidP="009B48D3">
    <w:pPr>
      <w:pStyle w:val="Cabealho"/>
      <w:jc w:val="center"/>
      <w:rPr>
        <w:color w:val="002060"/>
      </w:rPr>
    </w:pPr>
    <w:r w:rsidRPr="005A6299">
      <w:rPr>
        <w:b/>
        <w:bCs/>
        <w:color w:val="002060"/>
      </w:rPr>
      <w:t>Estado de Mato Grosso do Sul</w:t>
    </w:r>
  </w:p>
  <w:p w14:paraId="239D1B69" w14:textId="3BA40363" w:rsidR="00436D69" w:rsidRDefault="00436D69" w:rsidP="009B48D3">
    <w:pPr>
      <w:pStyle w:val="Corpodetexto"/>
      <w:spacing w:line="14" w:lineRule="auto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2DE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61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1CE"/>
    <w:multiLevelType w:val="hybridMultilevel"/>
    <w:tmpl w:val="87C043D4"/>
    <w:lvl w:ilvl="0" w:tplc="069AB29A">
      <w:start w:val="1"/>
      <w:numFmt w:val="decimal"/>
      <w:lvlText w:val="%1."/>
      <w:lvlJc w:val="left"/>
      <w:pPr>
        <w:ind w:left="15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122B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54F45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73547"/>
    <w:multiLevelType w:val="hybridMultilevel"/>
    <w:tmpl w:val="F4D659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A1936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86DF6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1616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67688"/>
    <w:multiLevelType w:val="hybridMultilevel"/>
    <w:tmpl w:val="162AAE3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16D80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D7401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51E65"/>
    <w:multiLevelType w:val="hybridMultilevel"/>
    <w:tmpl w:val="76366A6E"/>
    <w:lvl w:ilvl="0" w:tplc="05A8802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24FA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1236"/>
    <w:multiLevelType w:val="hybridMultilevel"/>
    <w:tmpl w:val="3410C84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2B03"/>
    <w:multiLevelType w:val="multilevel"/>
    <w:tmpl w:val="945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82A53"/>
    <w:multiLevelType w:val="hybridMultilevel"/>
    <w:tmpl w:val="E7927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C12"/>
    <w:multiLevelType w:val="hybridMultilevel"/>
    <w:tmpl w:val="345E6518"/>
    <w:lvl w:ilvl="0" w:tplc="05A8802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F33A4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D2BC0"/>
    <w:multiLevelType w:val="hybridMultilevel"/>
    <w:tmpl w:val="3788E78A"/>
    <w:lvl w:ilvl="0" w:tplc="1FC060E0">
      <w:start w:val="1"/>
      <w:numFmt w:val="upperRoman"/>
      <w:lvlText w:val="%1"/>
      <w:lvlJc w:val="left"/>
      <w:pPr>
        <w:ind w:left="986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70"/>
        <w:sz w:val="24"/>
        <w:szCs w:val="24"/>
        <w:u w:val="single" w:color="000000"/>
        <w:lang w:val="pt-PT" w:eastAsia="en-US" w:bidi="ar-SA"/>
      </w:rPr>
    </w:lvl>
    <w:lvl w:ilvl="1" w:tplc="069AB29A">
      <w:start w:val="1"/>
      <w:numFmt w:val="decimal"/>
      <w:lvlText w:val="%2."/>
      <w:lvlJc w:val="left"/>
      <w:pPr>
        <w:ind w:left="15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03A4062">
      <w:numFmt w:val="bullet"/>
      <w:lvlText w:val="•"/>
      <w:lvlJc w:val="left"/>
      <w:pPr>
        <w:ind w:left="1460" w:hanging="360"/>
      </w:pPr>
      <w:rPr>
        <w:rFonts w:hint="default"/>
        <w:lang w:val="pt-PT" w:eastAsia="en-US" w:bidi="ar-SA"/>
      </w:rPr>
    </w:lvl>
    <w:lvl w:ilvl="3" w:tplc="45507BC0">
      <w:numFmt w:val="bullet"/>
      <w:lvlText w:val="•"/>
      <w:lvlJc w:val="left"/>
      <w:pPr>
        <w:ind w:left="1580" w:hanging="360"/>
      </w:pPr>
      <w:rPr>
        <w:rFonts w:hint="default"/>
        <w:lang w:val="pt-PT" w:eastAsia="en-US" w:bidi="ar-SA"/>
      </w:rPr>
    </w:lvl>
    <w:lvl w:ilvl="4" w:tplc="099E6D7E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5" w:tplc="E974BFB0">
      <w:numFmt w:val="bullet"/>
      <w:lvlText w:val="•"/>
      <w:lvlJc w:val="left"/>
      <w:pPr>
        <w:ind w:left="3138" w:hanging="360"/>
      </w:pPr>
      <w:rPr>
        <w:rFonts w:hint="default"/>
        <w:lang w:val="pt-PT" w:eastAsia="en-US" w:bidi="ar-SA"/>
      </w:rPr>
    </w:lvl>
    <w:lvl w:ilvl="6" w:tplc="34226948">
      <w:numFmt w:val="bullet"/>
      <w:lvlText w:val="•"/>
      <w:lvlJc w:val="left"/>
      <w:pPr>
        <w:ind w:left="4637" w:hanging="360"/>
      </w:pPr>
      <w:rPr>
        <w:rFonts w:hint="default"/>
        <w:lang w:val="pt-PT" w:eastAsia="en-US" w:bidi="ar-SA"/>
      </w:rPr>
    </w:lvl>
    <w:lvl w:ilvl="7" w:tplc="47D8A680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8" w:tplc="1540B7C8">
      <w:numFmt w:val="bullet"/>
      <w:lvlText w:val="•"/>
      <w:lvlJc w:val="left"/>
      <w:pPr>
        <w:ind w:left="7634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37CA73D4"/>
    <w:multiLevelType w:val="hybridMultilevel"/>
    <w:tmpl w:val="D97017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B685E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B4A1B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228FC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1277F"/>
    <w:multiLevelType w:val="hybridMultilevel"/>
    <w:tmpl w:val="655605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900A0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5123B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B1409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14BE9"/>
    <w:multiLevelType w:val="hybridMultilevel"/>
    <w:tmpl w:val="DC3208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73656"/>
    <w:multiLevelType w:val="hybridMultilevel"/>
    <w:tmpl w:val="7E52822E"/>
    <w:lvl w:ilvl="0" w:tplc="05A8802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64BD4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76BA0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67737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B3A0E"/>
    <w:multiLevelType w:val="hybridMultilevel"/>
    <w:tmpl w:val="B172D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B2E3C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42742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7D60"/>
    <w:multiLevelType w:val="hybridMultilevel"/>
    <w:tmpl w:val="344EEA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3068F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D2170"/>
    <w:multiLevelType w:val="hybridMultilevel"/>
    <w:tmpl w:val="08C017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6705E"/>
    <w:multiLevelType w:val="hybridMultilevel"/>
    <w:tmpl w:val="162AAE3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218D9"/>
    <w:multiLevelType w:val="hybridMultilevel"/>
    <w:tmpl w:val="86E6B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0"/>
        <w:w w:val="10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77676"/>
    <w:multiLevelType w:val="hybridMultilevel"/>
    <w:tmpl w:val="A78420B8"/>
    <w:lvl w:ilvl="0" w:tplc="BB787BB0">
      <w:start w:val="1"/>
      <w:numFmt w:val="upperRoman"/>
      <w:lvlText w:val="%1"/>
      <w:lvlJc w:val="left"/>
      <w:pPr>
        <w:ind w:left="84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EEFDFE">
      <w:start w:val="1"/>
      <w:numFmt w:val="lowerLetter"/>
      <w:lvlText w:val="%2)"/>
      <w:lvlJc w:val="left"/>
      <w:pPr>
        <w:ind w:left="1984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2C4812A">
      <w:numFmt w:val="bullet"/>
      <w:lvlText w:val="•"/>
      <w:lvlJc w:val="left"/>
      <w:pPr>
        <w:ind w:left="2941" w:hanging="425"/>
      </w:pPr>
      <w:rPr>
        <w:rFonts w:hint="default"/>
        <w:lang w:val="pt-PT" w:eastAsia="en-US" w:bidi="ar-SA"/>
      </w:rPr>
    </w:lvl>
    <w:lvl w:ilvl="3" w:tplc="A8961C84">
      <w:numFmt w:val="bullet"/>
      <w:lvlText w:val="•"/>
      <w:lvlJc w:val="left"/>
      <w:pPr>
        <w:ind w:left="3902" w:hanging="425"/>
      </w:pPr>
      <w:rPr>
        <w:rFonts w:hint="default"/>
        <w:lang w:val="pt-PT" w:eastAsia="en-US" w:bidi="ar-SA"/>
      </w:rPr>
    </w:lvl>
    <w:lvl w:ilvl="4" w:tplc="6814491E">
      <w:numFmt w:val="bullet"/>
      <w:lvlText w:val="•"/>
      <w:lvlJc w:val="left"/>
      <w:pPr>
        <w:ind w:left="4863" w:hanging="425"/>
      </w:pPr>
      <w:rPr>
        <w:rFonts w:hint="default"/>
        <w:lang w:val="pt-PT" w:eastAsia="en-US" w:bidi="ar-SA"/>
      </w:rPr>
    </w:lvl>
    <w:lvl w:ilvl="5" w:tplc="8EEA4C80">
      <w:numFmt w:val="bullet"/>
      <w:lvlText w:val="•"/>
      <w:lvlJc w:val="left"/>
      <w:pPr>
        <w:ind w:left="5824" w:hanging="425"/>
      </w:pPr>
      <w:rPr>
        <w:rFonts w:hint="default"/>
        <w:lang w:val="pt-PT" w:eastAsia="en-US" w:bidi="ar-SA"/>
      </w:rPr>
    </w:lvl>
    <w:lvl w:ilvl="6" w:tplc="44CCA948">
      <w:numFmt w:val="bullet"/>
      <w:lvlText w:val="•"/>
      <w:lvlJc w:val="left"/>
      <w:pPr>
        <w:ind w:left="6786" w:hanging="425"/>
      </w:pPr>
      <w:rPr>
        <w:rFonts w:hint="default"/>
        <w:lang w:val="pt-PT" w:eastAsia="en-US" w:bidi="ar-SA"/>
      </w:rPr>
    </w:lvl>
    <w:lvl w:ilvl="7" w:tplc="9F9E1C1A">
      <w:numFmt w:val="bullet"/>
      <w:lvlText w:val="•"/>
      <w:lvlJc w:val="left"/>
      <w:pPr>
        <w:ind w:left="7747" w:hanging="425"/>
      </w:pPr>
      <w:rPr>
        <w:rFonts w:hint="default"/>
        <w:lang w:val="pt-PT" w:eastAsia="en-US" w:bidi="ar-SA"/>
      </w:rPr>
    </w:lvl>
    <w:lvl w:ilvl="8" w:tplc="8D266526">
      <w:numFmt w:val="bullet"/>
      <w:lvlText w:val="•"/>
      <w:lvlJc w:val="left"/>
      <w:pPr>
        <w:ind w:left="8708" w:hanging="425"/>
      </w:pPr>
      <w:rPr>
        <w:rFonts w:hint="default"/>
        <w:lang w:val="pt-PT" w:eastAsia="en-US" w:bidi="ar-SA"/>
      </w:rPr>
    </w:lvl>
  </w:abstractNum>
  <w:num w:numId="1" w16cid:durableId="372995993">
    <w:abstractNumId w:val="9"/>
  </w:num>
  <w:num w:numId="2" w16cid:durableId="181558336">
    <w:abstractNumId w:val="29"/>
  </w:num>
  <w:num w:numId="3" w16cid:durableId="1459298723">
    <w:abstractNumId w:val="12"/>
  </w:num>
  <w:num w:numId="4" w16cid:durableId="834613862">
    <w:abstractNumId w:val="17"/>
  </w:num>
  <w:num w:numId="5" w16cid:durableId="1623999273">
    <w:abstractNumId w:val="4"/>
  </w:num>
  <w:num w:numId="6" w16cid:durableId="1564370318">
    <w:abstractNumId w:val="32"/>
  </w:num>
  <w:num w:numId="7" w16cid:durableId="1083723106">
    <w:abstractNumId w:val="27"/>
  </w:num>
  <w:num w:numId="8" w16cid:durableId="1376079338">
    <w:abstractNumId w:val="0"/>
  </w:num>
  <w:num w:numId="9" w16cid:durableId="562183397">
    <w:abstractNumId w:val="31"/>
  </w:num>
  <w:num w:numId="10" w16cid:durableId="2145392091">
    <w:abstractNumId w:val="34"/>
  </w:num>
  <w:num w:numId="11" w16cid:durableId="1471752191">
    <w:abstractNumId w:val="6"/>
  </w:num>
  <w:num w:numId="12" w16cid:durableId="1034114098">
    <w:abstractNumId w:val="22"/>
  </w:num>
  <w:num w:numId="13" w16cid:durableId="1230574122">
    <w:abstractNumId w:val="13"/>
  </w:num>
  <w:num w:numId="14" w16cid:durableId="1466267462">
    <w:abstractNumId w:val="30"/>
  </w:num>
  <w:num w:numId="15" w16cid:durableId="355621209">
    <w:abstractNumId w:val="10"/>
  </w:num>
  <w:num w:numId="16" w16cid:durableId="2089885118">
    <w:abstractNumId w:val="1"/>
  </w:num>
  <w:num w:numId="17" w16cid:durableId="1012418919">
    <w:abstractNumId w:val="37"/>
  </w:num>
  <w:num w:numId="18" w16cid:durableId="51318132">
    <w:abstractNumId w:val="23"/>
  </w:num>
  <w:num w:numId="19" w16cid:durableId="953513655">
    <w:abstractNumId w:val="7"/>
  </w:num>
  <w:num w:numId="20" w16cid:durableId="1657297377">
    <w:abstractNumId w:val="18"/>
  </w:num>
  <w:num w:numId="21" w16cid:durableId="1003817845">
    <w:abstractNumId w:val="21"/>
  </w:num>
  <w:num w:numId="22" w16cid:durableId="1204366238">
    <w:abstractNumId w:val="35"/>
  </w:num>
  <w:num w:numId="23" w16cid:durableId="872107853">
    <w:abstractNumId w:val="25"/>
  </w:num>
  <w:num w:numId="24" w16cid:durableId="941457312">
    <w:abstractNumId w:val="3"/>
  </w:num>
  <w:num w:numId="25" w16cid:durableId="1673291011">
    <w:abstractNumId w:val="38"/>
  </w:num>
  <w:num w:numId="26" w16cid:durableId="496924494">
    <w:abstractNumId w:val="11"/>
  </w:num>
  <w:num w:numId="27" w16cid:durableId="1860124883">
    <w:abstractNumId w:val="8"/>
  </w:num>
  <w:num w:numId="28" w16cid:durableId="544757547">
    <w:abstractNumId w:val="39"/>
  </w:num>
  <w:num w:numId="29" w16cid:durableId="322896145">
    <w:abstractNumId w:val="26"/>
  </w:num>
  <w:num w:numId="30" w16cid:durableId="1382560941">
    <w:abstractNumId w:val="14"/>
  </w:num>
  <w:num w:numId="31" w16cid:durableId="1863393496">
    <w:abstractNumId w:val="40"/>
  </w:num>
  <w:num w:numId="32" w16cid:durableId="906040784">
    <w:abstractNumId w:val="5"/>
  </w:num>
  <w:num w:numId="33" w16cid:durableId="1956012900">
    <w:abstractNumId w:val="24"/>
  </w:num>
  <w:num w:numId="34" w16cid:durableId="556354672">
    <w:abstractNumId w:val="16"/>
  </w:num>
  <w:num w:numId="35" w16cid:durableId="757481650">
    <w:abstractNumId w:val="20"/>
  </w:num>
  <w:num w:numId="36" w16cid:durableId="1977877770">
    <w:abstractNumId w:val="36"/>
  </w:num>
  <w:num w:numId="37" w16cid:durableId="1859738495">
    <w:abstractNumId w:val="33"/>
  </w:num>
  <w:num w:numId="38" w16cid:durableId="301007163">
    <w:abstractNumId w:val="28"/>
  </w:num>
  <w:num w:numId="39" w16cid:durableId="1917544693">
    <w:abstractNumId w:val="41"/>
  </w:num>
  <w:num w:numId="40" w16cid:durableId="1815178328">
    <w:abstractNumId w:val="19"/>
  </w:num>
  <w:num w:numId="41" w16cid:durableId="1518807449">
    <w:abstractNumId w:val="2"/>
  </w:num>
  <w:num w:numId="42" w16cid:durableId="1321927447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9"/>
    <w:rsid w:val="00071085"/>
    <w:rsid w:val="00094238"/>
    <w:rsid w:val="000C6330"/>
    <w:rsid w:val="000D7980"/>
    <w:rsid w:val="001E30AE"/>
    <w:rsid w:val="001F2660"/>
    <w:rsid w:val="001F378F"/>
    <w:rsid w:val="002147A3"/>
    <w:rsid w:val="00233130"/>
    <w:rsid w:val="00260541"/>
    <w:rsid w:val="00276E52"/>
    <w:rsid w:val="002B5C48"/>
    <w:rsid w:val="003013DE"/>
    <w:rsid w:val="00325E2C"/>
    <w:rsid w:val="00334DF1"/>
    <w:rsid w:val="00344D2C"/>
    <w:rsid w:val="00371B0C"/>
    <w:rsid w:val="004015E7"/>
    <w:rsid w:val="00436D69"/>
    <w:rsid w:val="0045235A"/>
    <w:rsid w:val="00481653"/>
    <w:rsid w:val="00485431"/>
    <w:rsid w:val="004B6CA1"/>
    <w:rsid w:val="004C7475"/>
    <w:rsid w:val="004E25EC"/>
    <w:rsid w:val="00546CEF"/>
    <w:rsid w:val="00580075"/>
    <w:rsid w:val="005C6F30"/>
    <w:rsid w:val="005C7FB4"/>
    <w:rsid w:val="005D2AD0"/>
    <w:rsid w:val="005D5ACC"/>
    <w:rsid w:val="005F1A91"/>
    <w:rsid w:val="00675641"/>
    <w:rsid w:val="00677574"/>
    <w:rsid w:val="006916FE"/>
    <w:rsid w:val="00707527"/>
    <w:rsid w:val="00721D2A"/>
    <w:rsid w:val="007F751E"/>
    <w:rsid w:val="0081660C"/>
    <w:rsid w:val="00870F79"/>
    <w:rsid w:val="008F5EC7"/>
    <w:rsid w:val="008F6224"/>
    <w:rsid w:val="00922C71"/>
    <w:rsid w:val="00934D67"/>
    <w:rsid w:val="00942D7F"/>
    <w:rsid w:val="009644E4"/>
    <w:rsid w:val="009B1233"/>
    <w:rsid w:val="009B48D3"/>
    <w:rsid w:val="009D7C0F"/>
    <w:rsid w:val="00A84C31"/>
    <w:rsid w:val="00AB1218"/>
    <w:rsid w:val="00AD3AA7"/>
    <w:rsid w:val="00AE4037"/>
    <w:rsid w:val="00B13B57"/>
    <w:rsid w:val="00B3732E"/>
    <w:rsid w:val="00B75102"/>
    <w:rsid w:val="00B979E8"/>
    <w:rsid w:val="00C43C20"/>
    <w:rsid w:val="00CB6548"/>
    <w:rsid w:val="00CD123A"/>
    <w:rsid w:val="00CD729F"/>
    <w:rsid w:val="00CF61C6"/>
    <w:rsid w:val="00CF7C20"/>
    <w:rsid w:val="00D31895"/>
    <w:rsid w:val="00DD1305"/>
    <w:rsid w:val="00E10BE0"/>
    <w:rsid w:val="00E54E7D"/>
    <w:rsid w:val="00E87FEB"/>
    <w:rsid w:val="00EC419C"/>
    <w:rsid w:val="00EE496B"/>
    <w:rsid w:val="00F548B7"/>
    <w:rsid w:val="00F86E49"/>
    <w:rsid w:val="00FC7948"/>
    <w:rsid w:val="00FE3F38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CC68F"/>
  <w15:docId w15:val="{8D91F927-A1CA-44FF-A458-D7FA4CA2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qFormat/>
    <w:pPr>
      <w:ind w:left="143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nhideWhenUsed/>
    <w:qFormat/>
    <w:pPr>
      <w:ind w:left="350" w:right="6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1"/>
      <w:jc w:val="center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9B48D3"/>
    <w:pPr>
      <w:keepNext/>
      <w:widowControl/>
      <w:tabs>
        <w:tab w:val="num" w:pos="0"/>
      </w:tabs>
      <w:suppressAutoHyphens/>
      <w:autoSpaceDE/>
      <w:autoSpaceDN/>
      <w:spacing w:before="240" w:after="60"/>
      <w:ind w:left="1224" w:hanging="864"/>
      <w:outlineLvl w:val="3"/>
    </w:pPr>
    <w:rPr>
      <w:rFonts w:ascii="Calibri" w:eastAsia="Times New Roman" w:hAnsi="Calibri" w:cs="Calibri"/>
      <w:b/>
      <w:bCs/>
      <w:sz w:val="28"/>
      <w:szCs w:val="28"/>
      <w:lang w:val="pt-BR" w:eastAsia="ar-SA"/>
    </w:rPr>
  </w:style>
  <w:style w:type="paragraph" w:styleId="Ttulo5">
    <w:name w:val="heading 5"/>
    <w:basedOn w:val="Normal"/>
    <w:next w:val="Normal"/>
    <w:link w:val="Ttulo5Char"/>
    <w:qFormat/>
    <w:rsid w:val="009B48D3"/>
    <w:pPr>
      <w:widowControl/>
      <w:tabs>
        <w:tab w:val="num" w:pos="0"/>
      </w:tabs>
      <w:suppressAutoHyphens/>
      <w:autoSpaceDE/>
      <w:autoSpaceDN/>
      <w:spacing w:before="240" w:after="60"/>
      <w:ind w:left="1368" w:hanging="1008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9B48D3"/>
    <w:pPr>
      <w:widowControl/>
      <w:tabs>
        <w:tab w:val="num" w:pos="0"/>
      </w:tabs>
      <w:suppressAutoHyphens/>
      <w:autoSpaceDE/>
      <w:autoSpaceDN/>
      <w:spacing w:before="240" w:after="60"/>
      <w:ind w:left="1512" w:hanging="1152"/>
      <w:outlineLvl w:val="5"/>
    </w:pPr>
    <w:rPr>
      <w:rFonts w:ascii="Calibri" w:eastAsia="Times New Roman" w:hAnsi="Calibri" w:cs="Calibri"/>
      <w:b/>
      <w:bCs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9B48D3"/>
    <w:pPr>
      <w:widowControl/>
      <w:tabs>
        <w:tab w:val="num" w:pos="0"/>
      </w:tabs>
      <w:suppressAutoHyphens/>
      <w:autoSpaceDE/>
      <w:autoSpaceDN/>
      <w:spacing w:before="240" w:after="60"/>
      <w:ind w:left="1656" w:hanging="1296"/>
      <w:outlineLvl w:val="6"/>
    </w:pPr>
    <w:rPr>
      <w:rFonts w:ascii="Calibri" w:eastAsia="Times New Roman" w:hAnsi="Calibri" w:cs="Calibri"/>
      <w:sz w:val="24"/>
      <w:szCs w:val="24"/>
      <w:lang w:val="pt-BR" w:eastAsia="ar-SA"/>
    </w:rPr>
  </w:style>
  <w:style w:type="paragraph" w:styleId="Ttulo8">
    <w:name w:val="heading 8"/>
    <w:basedOn w:val="Normal"/>
    <w:next w:val="Corpodetexto"/>
    <w:link w:val="Ttulo8Char"/>
    <w:qFormat/>
    <w:rsid w:val="009B48D3"/>
    <w:pPr>
      <w:keepNext/>
      <w:widowControl/>
      <w:tabs>
        <w:tab w:val="num" w:pos="0"/>
      </w:tabs>
      <w:suppressAutoHyphens/>
      <w:autoSpaceDE/>
      <w:autoSpaceDN/>
      <w:spacing w:before="240" w:after="120"/>
      <w:ind w:left="1800" w:hanging="1440"/>
      <w:outlineLvl w:val="7"/>
    </w:pPr>
    <w:rPr>
      <w:rFonts w:ascii="Liberation Sans" w:eastAsia="DejaVu Sans" w:hAnsi="Liberation Sans" w:cs="DejaVu Sans"/>
      <w:b/>
      <w:bCs/>
      <w:sz w:val="21"/>
      <w:szCs w:val="21"/>
      <w:lang w:val="pt-BR" w:eastAsia="ar-SA"/>
    </w:rPr>
  </w:style>
  <w:style w:type="paragraph" w:styleId="Ttulo9">
    <w:name w:val="heading 9"/>
    <w:basedOn w:val="Normal"/>
    <w:next w:val="Corpodetexto"/>
    <w:link w:val="Ttulo9Char"/>
    <w:qFormat/>
    <w:rsid w:val="009B48D3"/>
    <w:pPr>
      <w:keepNext/>
      <w:widowControl/>
      <w:tabs>
        <w:tab w:val="num" w:pos="0"/>
      </w:tabs>
      <w:suppressAutoHyphens/>
      <w:autoSpaceDE/>
      <w:autoSpaceDN/>
      <w:spacing w:before="240" w:after="120"/>
      <w:ind w:left="1944" w:hanging="1584"/>
      <w:outlineLvl w:val="8"/>
    </w:pPr>
    <w:rPr>
      <w:rFonts w:ascii="Liberation Sans" w:eastAsia="DejaVu Sans" w:hAnsi="Liberation Sans" w:cs="DejaVu Sans"/>
      <w:b/>
      <w:bCs/>
      <w:sz w:val="21"/>
      <w:szCs w:val="21"/>
      <w:lang w:val="pt-BR"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7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732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B37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3732E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B3732E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9B48D3"/>
    <w:rPr>
      <w:rFonts w:ascii="Calibri" w:eastAsia="Times New Roman" w:hAnsi="Calibri" w:cs="Calibri"/>
      <w:b/>
      <w:bCs/>
      <w:sz w:val="28"/>
      <w:szCs w:val="28"/>
      <w:lang w:val="pt-BR" w:eastAsia="ar-SA"/>
    </w:rPr>
  </w:style>
  <w:style w:type="character" w:customStyle="1" w:styleId="Ttulo5Char">
    <w:name w:val="Título 5 Char"/>
    <w:basedOn w:val="Fontepargpadro"/>
    <w:link w:val="Ttulo5"/>
    <w:rsid w:val="009B48D3"/>
    <w:rPr>
      <w:rFonts w:ascii="Calibri" w:eastAsia="Times New Roman" w:hAnsi="Calibri" w:cs="Calibri"/>
      <w:b/>
      <w:bCs/>
      <w:i/>
      <w:iCs/>
      <w:sz w:val="26"/>
      <w:szCs w:val="26"/>
      <w:lang w:val="pt-BR" w:eastAsia="ar-SA"/>
    </w:rPr>
  </w:style>
  <w:style w:type="character" w:customStyle="1" w:styleId="Ttulo6Char">
    <w:name w:val="Título 6 Char"/>
    <w:basedOn w:val="Fontepargpadro"/>
    <w:link w:val="Ttulo6"/>
    <w:rsid w:val="009B48D3"/>
    <w:rPr>
      <w:rFonts w:ascii="Calibri" w:eastAsia="Times New Roman" w:hAnsi="Calibri" w:cs="Calibri"/>
      <w:b/>
      <w:bCs/>
      <w:lang w:val="pt-BR" w:eastAsia="ar-SA"/>
    </w:rPr>
  </w:style>
  <w:style w:type="character" w:customStyle="1" w:styleId="Ttulo7Char">
    <w:name w:val="Título 7 Char"/>
    <w:basedOn w:val="Fontepargpadro"/>
    <w:link w:val="Ttulo7"/>
    <w:rsid w:val="009B48D3"/>
    <w:rPr>
      <w:rFonts w:ascii="Calibri" w:eastAsia="Times New Roman" w:hAnsi="Calibri" w:cs="Calibri"/>
      <w:sz w:val="24"/>
      <w:szCs w:val="24"/>
      <w:lang w:val="pt-BR" w:eastAsia="ar-SA"/>
    </w:rPr>
  </w:style>
  <w:style w:type="character" w:customStyle="1" w:styleId="Ttulo8Char">
    <w:name w:val="Título 8 Char"/>
    <w:basedOn w:val="Fontepargpadro"/>
    <w:link w:val="Ttulo8"/>
    <w:rsid w:val="009B48D3"/>
    <w:rPr>
      <w:rFonts w:ascii="Liberation Sans" w:eastAsia="DejaVu Sans" w:hAnsi="Liberation Sans" w:cs="DejaVu Sans"/>
      <w:b/>
      <w:bCs/>
      <w:sz w:val="21"/>
      <w:szCs w:val="21"/>
      <w:lang w:val="pt-BR" w:eastAsia="ar-SA"/>
    </w:rPr>
  </w:style>
  <w:style w:type="character" w:customStyle="1" w:styleId="Ttulo9Char">
    <w:name w:val="Título 9 Char"/>
    <w:basedOn w:val="Fontepargpadro"/>
    <w:link w:val="Ttulo9"/>
    <w:rsid w:val="009B48D3"/>
    <w:rPr>
      <w:rFonts w:ascii="Liberation Sans" w:eastAsia="DejaVu Sans" w:hAnsi="Liberation Sans" w:cs="DejaVu Sans"/>
      <w:b/>
      <w:bCs/>
      <w:sz w:val="21"/>
      <w:szCs w:val="21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mkj</dc:creator>
  <cp:lastModifiedBy>camara municipal de sonora</cp:lastModifiedBy>
  <cp:revision>2</cp:revision>
  <cp:lastPrinted>2025-04-11T22:09:00Z</cp:lastPrinted>
  <dcterms:created xsi:type="dcterms:W3CDTF">2025-12-08T15:06:00Z</dcterms:created>
  <dcterms:modified xsi:type="dcterms:W3CDTF">2025-12-08T15:06:00Z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2025-04-07T00:00:00Z</vt:filetime>
  </property>
  <property fmtid="{D5CDD505-2E9C-101B-9397-08002B2CF9AE}" pid="5" name="Producer">
    <vt:lpwstr>GPL Ghostscript 10.02.1</vt:lpwstr>
  </property>
</Properties>
</file>